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中共木垒哈萨克自治县委员会宣传部</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（一）负责指导全县理论学习，理论宣传、理论研究工作。</w:t>
      </w:r>
    </w:p>
    <w:p>
      <w:pPr>
        <w:ind w:firstLine="640" w:firstLineChars="200"/>
        <w:jc w:val="left"/>
        <w:rPr>
          <w:rFonts w:ascii="仿宋_GB2312" w:eastAsia="仿宋_GB2312"/>
          <w:sz w:val="32"/>
          <w:szCs w:val="32"/>
        </w:rPr>
      </w:pPr>
      <w:r>
        <w:rPr>
          <w:rFonts w:hint="eastAsia" w:ascii="仿宋_GB2312" w:eastAsia="仿宋_GB2312"/>
          <w:sz w:val="32"/>
          <w:szCs w:val="32"/>
        </w:rPr>
        <w:t>（二）负责引导社会舆论，指导、协调新闻单位紧紧围绕党的中心任务和重点工作，组织战役性宣传；对广播电视局、文化体育局等部门的工作实施方针政策的指导和宏观管理；负责自治县对外宣传工作的组织、指导、协调。</w:t>
      </w:r>
    </w:p>
    <w:p>
      <w:pPr>
        <w:ind w:firstLine="640" w:firstLineChars="200"/>
        <w:jc w:val="left"/>
        <w:rPr>
          <w:rFonts w:ascii="仿宋_GB2312" w:eastAsia="仿宋_GB2312"/>
          <w:sz w:val="32"/>
          <w:szCs w:val="32"/>
        </w:rPr>
      </w:pPr>
      <w:r>
        <w:rPr>
          <w:rFonts w:hint="eastAsia" w:ascii="仿宋_GB2312" w:eastAsia="仿宋_GB2312"/>
          <w:sz w:val="32"/>
          <w:szCs w:val="32"/>
        </w:rPr>
        <w:t>（三）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pPr>
        <w:ind w:firstLine="640" w:firstLineChars="200"/>
        <w:jc w:val="left"/>
        <w:rPr>
          <w:rFonts w:ascii="仿宋_GB2312" w:eastAsia="仿宋_GB2312"/>
          <w:sz w:val="32"/>
          <w:szCs w:val="32"/>
        </w:rPr>
      </w:pPr>
      <w:r>
        <w:rPr>
          <w:rFonts w:hint="eastAsia" w:ascii="仿宋_GB2312" w:eastAsia="仿宋_GB2312"/>
          <w:sz w:val="32"/>
          <w:szCs w:val="32"/>
        </w:rPr>
        <w:t>（四）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pPr>
        <w:ind w:firstLine="640" w:firstLineChars="200"/>
        <w:jc w:val="left"/>
        <w:rPr>
          <w:rFonts w:ascii="仿宋_GB2312" w:eastAsia="仿宋_GB2312"/>
          <w:sz w:val="32"/>
          <w:szCs w:val="32"/>
        </w:rPr>
      </w:pPr>
      <w:r>
        <w:rPr>
          <w:rFonts w:hint="eastAsia" w:ascii="仿宋_GB2312" w:eastAsia="仿宋_GB2312"/>
          <w:sz w:val="32"/>
          <w:szCs w:val="32"/>
        </w:rPr>
        <w:t>（五）负责从宏观上指导全县精神产品的生产和文化市场管理以及体育工作的开展。</w:t>
      </w:r>
    </w:p>
    <w:p>
      <w:pPr>
        <w:ind w:firstLine="640" w:firstLineChars="200"/>
        <w:jc w:val="left"/>
        <w:rPr>
          <w:rFonts w:ascii="仿宋_GB2312" w:eastAsia="仿宋_GB2312"/>
          <w:sz w:val="32"/>
          <w:szCs w:val="32"/>
        </w:rPr>
      </w:pPr>
      <w:r>
        <w:rPr>
          <w:rFonts w:hint="eastAsia" w:ascii="仿宋_GB2312" w:eastAsia="仿宋_GB2312"/>
          <w:sz w:val="32"/>
          <w:szCs w:val="32"/>
        </w:rPr>
        <w:t>（六）负责提出全县宣传思想文化事业发展的指导方针，指导宣传文化系统制定有关政策、法规，协调宣传文化系统各部门工作；负责宣传思想工作的督查，及时向县委反映重要情况，提出建议；配合组织部门做好宣传文化系统干部的考察工作。</w:t>
      </w:r>
    </w:p>
    <w:p>
      <w:pPr>
        <w:ind w:firstLine="640" w:firstLineChars="200"/>
        <w:jc w:val="left"/>
        <w:rPr>
          <w:rFonts w:ascii="仿宋_GB2312" w:eastAsia="仿宋_GB2312"/>
          <w:sz w:val="32"/>
          <w:szCs w:val="32"/>
        </w:rPr>
      </w:pPr>
      <w:r>
        <w:rPr>
          <w:rFonts w:hint="eastAsia" w:ascii="仿宋_GB2312" w:eastAsia="仿宋_GB2312"/>
          <w:sz w:val="32"/>
          <w:szCs w:val="32"/>
        </w:rPr>
        <w:t>（七）负责组织、协调重大节日、纪念日的宣传和庆祝活动；负责组织、协调全县大型文体活动和社会宣传工作。</w:t>
      </w:r>
    </w:p>
    <w:p>
      <w:pPr>
        <w:ind w:firstLine="640" w:firstLineChars="200"/>
        <w:jc w:val="left"/>
        <w:rPr>
          <w:rFonts w:ascii="仿宋_GB2312" w:eastAsia="仿宋_GB2312"/>
          <w:sz w:val="32"/>
          <w:szCs w:val="32"/>
        </w:rPr>
      </w:pPr>
      <w:r>
        <w:rPr>
          <w:rFonts w:hint="eastAsia" w:ascii="仿宋_GB2312" w:eastAsia="仿宋_GB2312"/>
          <w:sz w:val="32"/>
          <w:szCs w:val="32"/>
        </w:rPr>
        <w:t>（八）负责文学艺术界联合会的日常工作。</w:t>
      </w:r>
    </w:p>
    <w:p>
      <w:pPr>
        <w:ind w:firstLine="640" w:firstLineChars="200"/>
        <w:jc w:val="left"/>
        <w:rPr>
          <w:rFonts w:ascii="仿宋_GB2312" w:eastAsia="仿宋_GB2312"/>
          <w:sz w:val="32"/>
          <w:szCs w:val="32"/>
        </w:rPr>
      </w:pPr>
      <w:r>
        <w:rPr>
          <w:rFonts w:hint="eastAsia" w:ascii="仿宋_GB2312" w:eastAsia="仿宋_GB2312"/>
          <w:sz w:val="32"/>
          <w:szCs w:val="32"/>
        </w:rPr>
        <w:t>（九）负责指导和协调县国防教育办公室的工作。</w:t>
      </w:r>
    </w:p>
    <w:p>
      <w:pPr>
        <w:ind w:firstLine="640" w:firstLineChars="200"/>
        <w:jc w:val="left"/>
        <w:rPr>
          <w:rFonts w:ascii="仿宋_GB2312" w:eastAsia="仿宋_GB2312"/>
          <w:sz w:val="32"/>
          <w:szCs w:val="32"/>
        </w:rPr>
      </w:pPr>
      <w:r>
        <w:rPr>
          <w:rFonts w:hint="eastAsia" w:ascii="仿宋_GB2312" w:eastAsia="仿宋_GB2312"/>
          <w:sz w:val="32"/>
          <w:szCs w:val="32"/>
        </w:rPr>
        <w:t>（十）完成县委、县人民政府交办的其他任务。</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中共木垒哈萨克自治县委员会宣传部2023年度，实有人数</w:t>
      </w:r>
      <w:r>
        <w:rPr>
          <w:rFonts w:hint="eastAsia" w:ascii="仿宋_GB2312" w:eastAsia="仿宋_GB2312"/>
          <w:sz w:val="32"/>
          <w:szCs w:val="32"/>
          <w:lang w:val="zh-CN"/>
        </w:rPr>
        <w:t>32</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15</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kern w:val="0"/>
          <w:sz w:val="32"/>
        </w:rPr>
        <w:t>办公室、意识形态股、新闻外宣股、精神文明（宣传文化）股</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2023年度收入总计871.86万元，其中：本年收入合计871.86万元，使用非财政拨款结余0.00万元，年初结转和结余0.00万元。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2023年度支出总计871.86万元，其中：本年支出合计871.86万元，结余分配0.00万元，年末结转和结余0.00万元。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增加434.33万元</w:t>
      </w:r>
      <w:r>
        <w:rPr>
          <w:rFonts w:hint="eastAsia" w:ascii="仿宋_GB2312" w:eastAsia="仿宋_GB2312"/>
          <w:sz w:val="32"/>
          <w:szCs w:val="32"/>
        </w:rPr>
        <w:t>，增长99.27%，主要原因是：增加《援疆干部》拍摄经费、2023年党报党刊征订及党委理论学习材料经费等。</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本年收入871.86万元，其中：财政拨款收入</w:t>
      </w:r>
      <w:r>
        <w:rPr>
          <w:rFonts w:hint="eastAsia" w:ascii="仿宋_GB2312" w:eastAsia="仿宋_GB2312"/>
          <w:sz w:val="32"/>
          <w:szCs w:val="32"/>
          <w:lang w:val="zh-CN"/>
        </w:rPr>
        <w:t>871.86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本年支出871.86万元，其中：基本支出320.75万元，占36.79%；项目支出551.11万元，占63.21%；上缴上级支出0.00万元，占0.00%；经营支出0.00万元，占0.00%；对附属单位补助支出0.00万元，占0.00%。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871.86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871.86</w:t>
      </w:r>
      <w:r>
        <w:rPr>
          <w:rFonts w:hint="eastAsia" w:ascii="仿宋_GB2312" w:eastAsia="仿宋_GB2312"/>
          <w:sz w:val="32"/>
          <w:szCs w:val="32"/>
        </w:rPr>
        <w:t>万元。财政拨款支出总计</w:t>
      </w:r>
      <w:r>
        <w:rPr>
          <w:rFonts w:hint="eastAsia" w:ascii="仿宋_GB2312" w:eastAsia="仿宋_GB2312"/>
          <w:sz w:val="32"/>
          <w:szCs w:val="32"/>
          <w:lang w:val="zh-CN"/>
        </w:rPr>
        <w:t>871.86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871.86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增加434.33万元</w:t>
      </w:r>
      <w:r>
        <w:rPr>
          <w:rFonts w:hint="eastAsia" w:ascii="仿宋_GB2312" w:eastAsia="仿宋_GB2312"/>
          <w:sz w:val="32"/>
          <w:szCs w:val="32"/>
        </w:rPr>
        <w:t>，增长99.27%,主要原因是：增加《援疆干部》拍摄经费、2023年党报党刊征订及党委理论学习材料经费等。与年初预算相比，年初预算数</w:t>
      </w:r>
      <w:r>
        <w:rPr>
          <w:rFonts w:hint="eastAsia" w:ascii="仿宋_GB2312" w:eastAsia="仿宋_GB2312"/>
          <w:sz w:val="32"/>
          <w:szCs w:val="32"/>
          <w:lang w:val="zh-CN"/>
        </w:rPr>
        <w:t>347.79</w:t>
      </w:r>
      <w:r>
        <w:rPr>
          <w:rFonts w:hint="eastAsia" w:ascii="仿宋_GB2312" w:eastAsia="仿宋_GB2312"/>
          <w:sz w:val="32"/>
          <w:szCs w:val="32"/>
        </w:rPr>
        <w:t>万元，决算数</w:t>
      </w:r>
      <w:r>
        <w:rPr>
          <w:rFonts w:hint="eastAsia" w:ascii="仿宋_GB2312" w:eastAsia="仿宋_GB2312"/>
          <w:sz w:val="32"/>
          <w:szCs w:val="32"/>
          <w:lang w:val="zh-CN"/>
        </w:rPr>
        <w:t>871.86</w:t>
      </w:r>
      <w:r>
        <w:rPr>
          <w:rFonts w:hint="eastAsia" w:ascii="仿宋_GB2312" w:eastAsia="仿宋_GB2312"/>
          <w:sz w:val="32"/>
          <w:szCs w:val="32"/>
        </w:rPr>
        <w:t>万元，预决算差异率150.69%，主要原因是：年中追加《援疆干部》拍摄经费、2023年党报党刊征订及党委理论学习材料经费等。</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2023年度一般公共预算财政拨款支出871.86万元，占本年支出合计的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增加434.33万元</w:t>
      </w:r>
      <w:r>
        <w:rPr>
          <w:rFonts w:hint="eastAsia" w:ascii="仿宋_GB2312" w:eastAsia="仿宋_GB2312"/>
          <w:sz w:val="32"/>
          <w:szCs w:val="32"/>
        </w:rPr>
        <w:t>，增长99.27%,主要原因是：增加《援疆干部》拍摄经费、2023年党报党刊征订及党委理论学习材料经费等。与年初预算相比，年初预算数</w:t>
      </w:r>
      <w:r>
        <w:rPr>
          <w:rFonts w:hint="eastAsia" w:ascii="仿宋_GB2312" w:eastAsia="仿宋_GB2312"/>
          <w:sz w:val="32"/>
          <w:szCs w:val="32"/>
          <w:lang w:val="zh-CN"/>
        </w:rPr>
        <w:t>347.79</w:t>
      </w:r>
      <w:r>
        <w:rPr>
          <w:rFonts w:hint="eastAsia" w:ascii="仿宋_GB2312" w:eastAsia="仿宋_GB2312"/>
          <w:sz w:val="32"/>
          <w:szCs w:val="32"/>
        </w:rPr>
        <w:t>万元，决算数</w:t>
      </w:r>
      <w:r>
        <w:rPr>
          <w:rFonts w:hint="eastAsia" w:ascii="仿宋_GB2312" w:eastAsia="仿宋_GB2312"/>
          <w:sz w:val="32"/>
          <w:szCs w:val="32"/>
          <w:lang w:val="zh-CN"/>
        </w:rPr>
        <w:t>871.86</w:t>
      </w:r>
      <w:r>
        <w:rPr>
          <w:rFonts w:hint="eastAsia" w:ascii="仿宋_GB2312" w:eastAsia="仿宋_GB2312"/>
          <w:sz w:val="32"/>
          <w:szCs w:val="32"/>
        </w:rPr>
        <w:t>万元，预决算差异率</w:t>
      </w:r>
      <w:r>
        <w:rPr>
          <w:rFonts w:hint="eastAsia" w:ascii="仿宋_GB2312" w:eastAsia="仿宋_GB2312"/>
          <w:sz w:val="32"/>
          <w:szCs w:val="32"/>
          <w:lang w:val="zh-CN"/>
        </w:rPr>
        <w:t>150.69%</w:t>
      </w:r>
      <w:r>
        <w:rPr>
          <w:rFonts w:hint="eastAsia" w:ascii="仿宋_GB2312" w:eastAsia="仿宋_GB2312"/>
          <w:sz w:val="32"/>
          <w:szCs w:val="32"/>
        </w:rPr>
        <w:t>，主要原因是：年中追加《援疆干部》拍摄经费、2023年党报党刊征订及党委理论学习材料经费等。</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627.95</w:t>
      </w:r>
      <w:r>
        <w:rPr>
          <w:rFonts w:ascii="仿宋_GB2312" w:eastAsia="仿宋_GB2312"/>
          <w:kern w:val="2"/>
          <w:sz w:val="32"/>
          <w:szCs w:val="32"/>
          <w:lang w:val="zh-CN"/>
        </w:rPr>
        <w:t>万元，占</w:t>
      </w:r>
      <w:r>
        <w:rPr>
          <w:rFonts w:hint="eastAsia" w:ascii="仿宋_GB2312" w:eastAsia="仿宋_GB2312"/>
          <w:kern w:val="2"/>
          <w:sz w:val="32"/>
          <w:szCs w:val="32"/>
          <w:lang w:val="zh-CN"/>
        </w:rPr>
        <w:t>72.02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2.文化旅游体育与传媒支出（类）</w:t>
      </w:r>
      <w:r>
        <w:rPr>
          <w:rFonts w:hint="eastAsia" w:ascii="仿宋_GB2312" w:eastAsia="仿宋_GB2312"/>
          <w:kern w:val="2"/>
          <w:sz w:val="32"/>
          <w:szCs w:val="32"/>
          <w:lang w:val="zh-CN"/>
        </w:rPr>
        <w:t>159.38</w:t>
      </w:r>
      <w:r>
        <w:rPr>
          <w:rFonts w:ascii="仿宋_GB2312" w:eastAsia="仿宋_GB2312"/>
          <w:kern w:val="2"/>
          <w:sz w:val="32"/>
          <w:szCs w:val="32"/>
          <w:lang w:val="zh-CN"/>
        </w:rPr>
        <w:t>万元，占</w:t>
      </w:r>
      <w:r>
        <w:rPr>
          <w:rFonts w:hint="eastAsia" w:ascii="仿宋_GB2312" w:eastAsia="仿宋_GB2312"/>
          <w:kern w:val="2"/>
          <w:sz w:val="32"/>
          <w:szCs w:val="32"/>
          <w:lang w:val="zh-CN"/>
        </w:rPr>
        <w:t>18.28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3.社会保障和就业支出（类）</w:t>
      </w:r>
      <w:r>
        <w:rPr>
          <w:rFonts w:hint="eastAsia" w:ascii="仿宋_GB2312" w:eastAsia="仿宋_GB2312"/>
          <w:kern w:val="2"/>
          <w:sz w:val="32"/>
          <w:szCs w:val="32"/>
          <w:lang w:val="zh-CN"/>
        </w:rPr>
        <w:t>35.87</w:t>
      </w:r>
      <w:r>
        <w:rPr>
          <w:rFonts w:ascii="仿宋_GB2312" w:eastAsia="仿宋_GB2312"/>
          <w:kern w:val="2"/>
          <w:sz w:val="32"/>
          <w:szCs w:val="32"/>
          <w:lang w:val="zh-CN"/>
        </w:rPr>
        <w:t>万元，占</w:t>
      </w:r>
      <w:r>
        <w:rPr>
          <w:rFonts w:hint="eastAsia" w:ascii="仿宋_GB2312" w:eastAsia="仿宋_GB2312"/>
          <w:kern w:val="2"/>
          <w:sz w:val="32"/>
          <w:szCs w:val="32"/>
          <w:lang w:val="zh-CN"/>
        </w:rPr>
        <w:t>4.11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4.住房保障支出（类）</w:t>
      </w:r>
      <w:r>
        <w:rPr>
          <w:rFonts w:hint="eastAsia" w:ascii="仿宋_GB2312" w:eastAsia="仿宋_GB2312"/>
          <w:kern w:val="2"/>
          <w:sz w:val="32"/>
          <w:szCs w:val="32"/>
          <w:lang w:val="zh-CN"/>
        </w:rPr>
        <w:t>23.57</w:t>
      </w:r>
      <w:r>
        <w:rPr>
          <w:rFonts w:ascii="仿宋_GB2312" w:eastAsia="仿宋_GB2312"/>
          <w:kern w:val="2"/>
          <w:sz w:val="32"/>
          <w:szCs w:val="32"/>
          <w:lang w:val="zh-CN"/>
        </w:rPr>
        <w:t>万元，占</w:t>
      </w:r>
      <w:r>
        <w:rPr>
          <w:rFonts w:hint="eastAsia" w:ascii="仿宋_GB2312" w:eastAsia="仿宋_GB2312"/>
          <w:kern w:val="2"/>
          <w:sz w:val="32"/>
          <w:szCs w:val="32"/>
          <w:lang w:val="zh-CN"/>
        </w:rPr>
        <w:t>2.70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5.其他支出（类）</w:t>
      </w:r>
      <w:r>
        <w:rPr>
          <w:rFonts w:hint="eastAsia" w:ascii="仿宋_GB2312" w:eastAsia="仿宋_GB2312"/>
          <w:kern w:val="2"/>
          <w:sz w:val="32"/>
          <w:szCs w:val="32"/>
          <w:lang w:val="zh-CN"/>
        </w:rPr>
        <w:t>25.08</w:t>
      </w:r>
      <w:r>
        <w:rPr>
          <w:rFonts w:ascii="仿宋_GB2312" w:eastAsia="仿宋_GB2312"/>
          <w:kern w:val="2"/>
          <w:sz w:val="32"/>
          <w:szCs w:val="32"/>
          <w:lang w:val="zh-CN"/>
        </w:rPr>
        <w:t>万元，占</w:t>
      </w:r>
      <w:r>
        <w:rPr>
          <w:rFonts w:hint="eastAsia" w:ascii="仿宋_GB2312" w:eastAsia="仿宋_GB2312"/>
          <w:kern w:val="2"/>
          <w:sz w:val="32"/>
          <w:szCs w:val="32"/>
          <w:lang w:val="zh-CN"/>
        </w:rPr>
        <w:t>2.88</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ascii="仿宋_GB2312" w:eastAsia="仿宋_GB2312"/>
          <w:sz w:val="32"/>
          <w:szCs w:val="32"/>
        </w:rPr>
        <w:t>1.住房保障支出（类）住房改革支出（款）住房公积金（项）:支出决算数为23.57万元，比上年决算增加1.03万元，增长4.57%，主要原因是：公积金缴费基数调增，人员公积金缴费增加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2.社会保障和就业支出（类）抚恤（款）死亡抚恤（项）:支出决算数为0.53万元，比上年决算增加0.53万元，增长100%，主要原因是：本年新增死亡人员，人员丧葬抚恤金增加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3.一般公共服务支出（类）宣传事务（款）其他宣传事务支出（项）:支出决算数为378.75万元，比上年决算增加373.75万元，增长7,475.00%，主要原因是：本年增加</w:t>
      </w:r>
      <w:r>
        <w:rPr>
          <w:rFonts w:hint="eastAsia" w:ascii="仿宋_GB2312" w:eastAsia="仿宋_GB2312"/>
          <w:sz w:val="32"/>
          <w:szCs w:val="32"/>
          <w:lang w:val="zh-CN"/>
        </w:rPr>
        <w:t>党报党刊征订及党委理论学习材料经费、上级媒体宣传合作费用级新闻外宣工作经费等。</w:t>
      </w:r>
    </w:p>
    <w:p>
      <w:pPr>
        <w:ind w:firstLine="640" w:firstLineChars="200"/>
        <w:rPr>
          <w:rFonts w:ascii="仿宋_GB2312" w:eastAsia="仿宋_GB2312"/>
          <w:sz w:val="32"/>
          <w:szCs w:val="32"/>
          <w:lang w:val="zh-CN"/>
        </w:rPr>
      </w:pPr>
      <w:r>
        <w:rPr>
          <w:rFonts w:hint="eastAsia" w:ascii="仿宋_GB2312" w:eastAsia="仿宋_GB2312"/>
          <w:sz w:val="32"/>
          <w:szCs w:val="32"/>
        </w:rPr>
        <w:t>4.文化旅游体育与传媒支出（类）其他文化旅游体育与传媒支出（款）其他文化旅游体育与传媒支出（项）:支出决算数为159.38万元，比上年决算增加117.09万元，增长276.87%，主要原因是：本年增加</w:t>
      </w:r>
      <w:r>
        <w:rPr>
          <w:rFonts w:hint="eastAsia" w:ascii="仿宋_GB2312" w:eastAsia="仿宋_GB2312"/>
          <w:sz w:val="32"/>
          <w:szCs w:val="32"/>
          <w:lang w:val="zh-CN"/>
        </w:rPr>
        <w:t>中央公共文化服务体系建设补助资金。</w:t>
      </w:r>
    </w:p>
    <w:p>
      <w:pPr>
        <w:ind w:firstLine="640" w:firstLineChars="200"/>
        <w:rPr>
          <w:rFonts w:ascii="仿宋_GB2312" w:eastAsia="仿宋_GB2312"/>
          <w:sz w:val="32"/>
          <w:szCs w:val="32"/>
          <w:lang w:val="zh-CN"/>
        </w:rPr>
      </w:pPr>
      <w:r>
        <w:rPr>
          <w:rFonts w:hint="eastAsia" w:ascii="仿宋_GB2312" w:eastAsia="仿宋_GB2312"/>
          <w:sz w:val="32"/>
          <w:szCs w:val="32"/>
        </w:rPr>
        <w:t>5.社会保障和就业支出（类）行政事业单位养老支出（款）行政单位离退休（项）:支出决算数为4.16万元，比上年决算增加2.33万元，增长127.32%，主要原因是：退休人员增加，退休人员取暖费、独生子女奖励金等较上年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6.一般公共服务支出（类）宣传事务（款）行政运行（项）:支出决算数为249.20万元，比上年决算减少43.22万元，下降14.78%，主要原因是：单位人员减少，人员工资、津补贴等人员经费减少</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7.社会保障和就业支出（类）行政事业单位养老支出（款）机关事业单位职业年金缴费支出（项）:支出决算数为2.52万元，比上年决算增加2.52万元，增长100%，主要原因是：科目调整细化，上年在单位主款反映，本年调整至本科目</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8.其他支出（类）其他支出（款）其他支出（项）:支出决算数为25.08万元，比上年决算增加10.31万元，增长69.80%，主要原因是：本年单位增加</w:t>
      </w:r>
      <w:r>
        <w:rPr>
          <w:rFonts w:hint="eastAsia" w:ascii="仿宋_GB2312" w:eastAsia="仿宋_GB2312"/>
          <w:sz w:val="32"/>
          <w:szCs w:val="32"/>
          <w:lang w:val="zh-CN"/>
        </w:rPr>
        <w:t>州级重点人才项目经费。</w:t>
      </w:r>
    </w:p>
    <w:p>
      <w:pPr>
        <w:ind w:firstLine="640" w:firstLineChars="200"/>
        <w:rPr>
          <w:rFonts w:ascii="仿宋_GB2312" w:eastAsia="仿宋_GB2312"/>
          <w:sz w:val="32"/>
          <w:szCs w:val="32"/>
          <w:lang w:val="zh-CN"/>
        </w:rPr>
      </w:pPr>
      <w:r>
        <w:rPr>
          <w:rFonts w:hint="eastAsia" w:ascii="仿宋_GB2312" w:eastAsia="仿宋_GB2312"/>
          <w:sz w:val="32"/>
          <w:szCs w:val="32"/>
        </w:rPr>
        <w:t>9.社会保障和就业支出（类）行政事业单位养老支出（款）机关事业单位基本养老保险缴费支出（项）:支出决算数为28.66万元，比上年决算减少0.02万元，下降0.07%，主要原因是：单位人员减少，人员养老保险缴费减少</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10.文化旅游体育与传媒支出（类）文化和旅游（款）其他文化和旅游支出（项）:支出决算数为0.00万元，比上年决算减少30.00万元，下降100%，主要原因是：本年减少</w:t>
      </w:r>
      <w:r>
        <w:rPr>
          <w:rFonts w:hint="eastAsia" w:ascii="仿宋_GB2312" w:eastAsia="仿宋_GB2312"/>
          <w:sz w:val="32"/>
          <w:szCs w:val="32"/>
          <w:lang w:val="zh-CN"/>
        </w:rPr>
        <w:t>中央补助地方公共文化服务体系建设补助资金。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320.75万元，其中：人员经费315.59万元，包括：基本工资、津贴补贴、奖金、机关事业单位基本养老保险缴费、职业年金缴费、职工基本医疗保险缴费、公务员医疗补助缴费、其他社会保障缴费、住房公积金、退休费、生活补助、奖励金、其他对个人和家庭的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公用经费5.17万元，包括：办公费、邮电费、取暖费、差旅费、公务用车运行维护费。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“三公”经费支出1.25万元，</w:t>
      </w:r>
      <w:r>
        <w:rPr>
          <w:rFonts w:hint="eastAsia" w:ascii="仿宋_GB2312" w:eastAsia="仿宋_GB2312"/>
          <w:sz w:val="32"/>
          <w:szCs w:val="32"/>
        </w:rPr>
        <w:t>比上年</w:t>
      </w:r>
      <w:r>
        <w:rPr>
          <w:rFonts w:hint="eastAsia" w:ascii="仿宋_GB2312" w:eastAsia="仿宋_GB2312"/>
          <w:sz w:val="32"/>
          <w:szCs w:val="32"/>
          <w:lang w:val="zh-CN"/>
        </w:rPr>
        <w:t>减少5.23万元，</w:t>
      </w:r>
      <w:r>
        <w:rPr>
          <w:rFonts w:hint="eastAsia" w:ascii="仿宋_GB2312" w:eastAsia="仿宋_GB2312"/>
          <w:sz w:val="32"/>
          <w:szCs w:val="32"/>
        </w:rPr>
        <w:t>下降80.71%,</w:t>
      </w:r>
      <w:r>
        <w:rPr>
          <w:rFonts w:hint="eastAsia" w:ascii="仿宋_GB2312" w:eastAsia="仿宋_GB2312"/>
          <w:sz w:val="32"/>
          <w:szCs w:val="32"/>
          <w:lang w:val="zh-CN"/>
        </w:rPr>
        <w:t>主要原因是：车辆减少出行，维修维护费、燃油费减少。其中：因公出国（境）费支出0.00万元，占0.00%，比上年增加0.00万元，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主要原因是：本年无此项经费；公务用车购置及运行维护费支出1.25万元，占100.00%，比上年减少5.23万元，</w:t>
      </w:r>
      <w:r>
        <w:rPr>
          <w:rFonts w:hint="eastAsia" w:ascii="仿宋_GB2312" w:eastAsia="仿宋_GB2312"/>
          <w:sz w:val="32"/>
          <w:szCs w:val="32"/>
        </w:rPr>
        <w:t>下降80.71%,</w:t>
      </w:r>
      <w:r>
        <w:rPr>
          <w:rFonts w:hint="eastAsia" w:ascii="仿宋_GB2312" w:eastAsia="仿宋_GB2312"/>
          <w:sz w:val="32"/>
          <w:szCs w:val="32"/>
          <w:lang w:val="zh-CN"/>
        </w:rPr>
        <w:t>主要原因是：车辆减少出行，维修维护费、燃油费减少；公务接待费支出0.00万元，占0.00%，比上年增加0.00万元，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公务用车购置及运行维护费1.25万元，其中：公务用车购置费0.00万元，公务用车运行维护费1.25万元。公务用车运行维护费开支内容包括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1318"/>
      <w:r>
        <w:rPr>
          <w:rFonts w:hint="eastAsia" w:ascii="仿宋_GB2312" w:eastAsia="仿宋_GB2312"/>
          <w:sz w:val="32"/>
          <w:szCs w:val="32"/>
          <w:lang w:val="zh-CN"/>
        </w:rPr>
        <w:t>国有资产车辆与公务用车保有量无差异</w:t>
      </w:r>
      <w:bookmarkEnd w:id="18"/>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预算数1.25万元，决算数1.25万元，预决算差异率0.00%，主要原因是：本年严格按年初预算执行“三公”经费，预决算对比无差异。其中：因公出国（境）费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预算数1.25万元，决算数1.25万元，预决算差异率0.00%，主要原因是：本年严格按年初预算执行“三公”经费，预决算对比无差异；公务接待费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hint="eastAsia"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pPr>
        <w:ind w:firstLine="640" w:firstLineChars="200"/>
        <w:rPr>
          <w:rFonts w:ascii="仿宋_GB2312" w:eastAsia="仿宋_GB2312"/>
          <w:sz w:val="32"/>
          <w:szCs w:val="32"/>
          <w:lang w:val="zh-CN"/>
        </w:rPr>
      </w:pPr>
      <w:bookmarkStart w:id="25" w:name="_Toc26704"/>
      <w:bookmarkStart w:id="26" w:name="_Toc227"/>
      <w:r>
        <w:rPr>
          <w:rFonts w:hint="eastAsia" w:ascii="仿宋_GB2312" w:eastAsia="仿宋_GB2312"/>
          <w:sz w:val="32"/>
          <w:szCs w:val="32"/>
          <w:lang w:val="zh-CN"/>
        </w:rPr>
        <w:t>2023年度</w:t>
      </w:r>
      <w:r>
        <w:rPr>
          <w:rFonts w:hint="eastAsia" w:ascii="仿宋_GB2312" w:eastAsia="仿宋_GB2312"/>
          <w:sz w:val="32"/>
          <w:szCs w:val="32"/>
        </w:rPr>
        <w:t>中共木垒哈萨克自治县委员会宣传部（行政单位和参照公务员法管理事业单位）机关运行经费支出5.17万元，比上年减少34.33万元，下降86.91%，主要原因是：本年单位办公经费、车辆运行维护费等较上年减少。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2023年度政府采购支出总额45.29万元，其中：政府采购货物支出19.04万元、政府采购工程支出0.00万元、政府采购服务支出26.25万元。</w:t>
      </w:r>
    </w:p>
    <w:p>
      <w:pPr>
        <w:ind w:firstLine="640" w:firstLineChars="200"/>
        <w:rPr>
          <w:rFonts w:ascii="仿宋_GB2312" w:eastAsia="仿宋_GB2312"/>
          <w:sz w:val="32"/>
          <w:szCs w:val="32"/>
          <w:lang w:val="zh-CN"/>
        </w:rPr>
      </w:pPr>
      <w:r>
        <w:rPr>
          <w:rFonts w:hint="eastAsia" w:ascii="仿宋_GB2312" w:eastAsia="仿宋_GB2312"/>
          <w:sz w:val="32"/>
          <w:szCs w:val="32"/>
          <w:lang w:val="zh-CN"/>
        </w:rPr>
        <w:t>授予中小企业合同金额43.05万元，占政府采购支出总额的95.05</w:t>
      </w:r>
      <w:r>
        <w:rPr>
          <w:rFonts w:ascii="仿宋_GB2312" w:eastAsia="仿宋_GB2312"/>
          <w:sz w:val="32"/>
          <w:szCs w:val="32"/>
          <w:lang w:val="zh-CN"/>
        </w:rPr>
        <w:t>%</w:t>
      </w:r>
      <w:r>
        <w:rPr>
          <w:rFonts w:hint="eastAsia" w:ascii="仿宋_GB2312" w:eastAsia="仿宋_GB2312"/>
          <w:sz w:val="32"/>
          <w:szCs w:val="32"/>
          <w:lang w:val="zh-CN"/>
        </w:rPr>
        <w:t>，其中：授予小微企业合同金额40.97万元，占政府采购支出总额的90.46</w:t>
      </w:r>
      <w:r>
        <w:rPr>
          <w:rFonts w:ascii="仿宋_GB2312" w:eastAsia="仿宋_GB2312"/>
          <w:sz w:val="32"/>
          <w:szCs w:val="32"/>
          <w:lang w:val="zh-CN"/>
        </w:rPr>
        <w:t>%</w:t>
      </w:r>
      <w:r>
        <w:rPr>
          <w:rFonts w:hint="eastAsia" w:ascii="仿宋_GB2312" w:eastAsia="仿宋_GB2312"/>
          <w:sz w:val="32"/>
          <w:szCs w:val="32"/>
          <w:lang w:val="zh-CN"/>
        </w:rPr>
        <w:t>。</w:t>
      </w:r>
    </w:p>
    <w:p>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pPr>
        <w:ind w:firstLine="640" w:firstLineChars="200"/>
        <w:rPr>
          <w:rFonts w:ascii="仿宋_GB2312" w:eastAsia="仿宋_GB2312"/>
          <w:sz w:val="32"/>
          <w:szCs w:val="32"/>
          <w:lang w:val="zh-CN"/>
        </w:rPr>
      </w:pPr>
      <w:r>
        <w:rPr>
          <w:rFonts w:hint="eastAsia" w:ascii="仿宋_GB2312" w:eastAsia="仿宋_GB2312"/>
          <w:sz w:val="32"/>
          <w:szCs w:val="32"/>
          <w:lang w:val="zh-CN"/>
        </w:rPr>
        <w:t>截至2023年12月31日，固定资产原值141.45万元，房屋0.0</w:t>
      </w:r>
      <w:r>
        <w:rPr>
          <w:rFonts w:ascii="仿宋_GB2312" w:eastAsia="仿宋_GB2312"/>
          <w:sz w:val="32"/>
          <w:szCs w:val="32"/>
          <w:lang w:val="zh-CN"/>
        </w:rPr>
        <w:t>0</w:t>
      </w:r>
      <w:r>
        <w:rPr>
          <w:rFonts w:hint="eastAsia" w:ascii="仿宋_GB2312" w:eastAsia="仿宋_GB2312"/>
          <w:sz w:val="32"/>
          <w:szCs w:val="32"/>
          <w:lang w:val="zh-CN"/>
        </w:rPr>
        <w:t>平方米，价值0.00万元。车辆4辆，价值66.24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871.86</w:t>
      </w:r>
      <w:r>
        <w:rPr>
          <w:rFonts w:hint="eastAsia" w:ascii="仿宋_GB2312" w:eastAsia="仿宋_GB2312"/>
          <w:sz w:val="32"/>
          <w:szCs w:val="32"/>
        </w:rPr>
        <w:t>万元，实际执行总额</w:t>
      </w:r>
      <w:r>
        <w:rPr>
          <w:rFonts w:ascii="仿宋_GB2312" w:eastAsia="仿宋_GB2312"/>
          <w:sz w:val="32"/>
          <w:szCs w:val="32"/>
        </w:rPr>
        <w:t>871.86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2</w:t>
      </w:r>
      <w:r>
        <w:rPr>
          <w:rFonts w:hint="eastAsia" w:ascii="仿宋_GB2312" w:eastAsia="仿宋_GB2312"/>
          <w:sz w:val="32"/>
          <w:szCs w:val="32"/>
        </w:rPr>
        <w:t>个，全年预算数</w:t>
      </w:r>
      <w:r>
        <w:rPr>
          <w:rFonts w:ascii="仿宋_GB2312" w:eastAsia="仿宋_GB2312"/>
          <w:sz w:val="32"/>
          <w:szCs w:val="32"/>
        </w:rPr>
        <w:t>544.10</w:t>
      </w:r>
      <w:r>
        <w:rPr>
          <w:rFonts w:hint="eastAsia" w:ascii="仿宋_GB2312" w:eastAsia="仿宋_GB2312"/>
          <w:sz w:val="32"/>
          <w:szCs w:val="32"/>
        </w:rPr>
        <w:t>万元，全年执行数</w:t>
      </w:r>
      <w:r>
        <w:rPr>
          <w:rFonts w:ascii="仿宋_GB2312" w:eastAsia="仿宋_GB2312"/>
          <w:sz w:val="32"/>
          <w:szCs w:val="32"/>
        </w:rPr>
        <w:t>544.10</w:t>
      </w:r>
      <w:r>
        <w:rPr>
          <w:rFonts w:hint="eastAsia" w:ascii="仿宋_GB2312" w:eastAsia="仿宋_GB2312"/>
          <w:sz w:val="32"/>
          <w:szCs w:val="32"/>
        </w:rPr>
        <w:t>万元。预算绩效管理取得的成效：</w:t>
      </w:r>
      <w:r>
        <w:rPr>
          <w:rFonts w:hint="eastAsia" w:ascii="仿宋_GB2312" w:hAnsi="仿宋_GB2312" w:eastAsia="仿宋_GB2312" w:cs="仿宋_GB2312"/>
          <w:sz w:val="32"/>
          <w:szCs w:val="32"/>
        </w:rPr>
        <w:t>一是</w:t>
      </w:r>
      <w:r>
        <w:rPr>
          <w:rFonts w:hint="eastAsia" w:ascii="仿宋_GB2312" w:eastAsia="仿宋_GB2312"/>
          <w:sz w:val="32"/>
        </w:rPr>
        <w:t>将绩效目标细化到每项资金，将管理责任分解到处具体到人，大大提高了绩效管理的可操作性</w:t>
      </w:r>
      <w:r>
        <w:rPr>
          <w:rFonts w:hint="eastAsia" w:ascii="仿宋_GB2312" w:hAnsi="仿宋_GB2312" w:eastAsia="仿宋_GB2312" w:cs="仿宋_GB2312"/>
          <w:sz w:val="32"/>
          <w:szCs w:val="32"/>
        </w:rPr>
        <w:t>；二是</w:t>
      </w:r>
      <w:r>
        <w:rPr>
          <w:rFonts w:hint="eastAsia" w:ascii="仿宋_GB2312" w:eastAsia="仿宋_GB2312"/>
          <w:sz w:val="32"/>
        </w:rPr>
        <w:t>提了高财政资金使用效益，确保各类项目顺利开展</w:t>
      </w:r>
      <w:r>
        <w:rPr>
          <w:rFonts w:hint="eastAsia" w:ascii="仿宋_GB2312" w:eastAsia="仿宋_GB2312"/>
          <w:sz w:val="32"/>
          <w:szCs w:val="32"/>
        </w:rPr>
        <w:t>。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二是要加强部门内部绩效评价人员的培训，提高其指标设计和绩效评价的专业技能，提高部门整体支出绩效目标设定的合理性。具体项目自评情况附绩效自评表及自评报告。</w:t>
      </w:r>
    </w:p>
    <w:tbl>
      <w:tblPr>
        <w:tblStyle w:val="9"/>
        <w:tblW w:w="840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156"/>
        <w:gridCol w:w="1127"/>
        <w:gridCol w:w="904"/>
        <w:gridCol w:w="1451"/>
        <w:gridCol w:w="576"/>
        <w:gridCol w:w="873"/>
        <w:gridCol w:w="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409"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409"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816"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6593"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816"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15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5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7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50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156"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159.38</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159.38</w:t>
            </w:r>
          </w:p>
        </w:tc>
        <w:tc>
          <w:tcPr>
            <w:tcW w:w="5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7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50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15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3.97</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3.97</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15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55</w:t>
            </w:r>
            <w:r>
              <w:rPr>
                <w:rFonts w:cs="宋体" w:asciiTheme="minorEastAsia" w:hAnsiTheme="minorEastAsia" w:eastAsiaTheme="minorEastAsia"/>
                <w:bCs/>
                <w:kern w:val="0"/>
                <w:sz w:val="20"/>
                <w:szCs w:val="20"/>
              </w:rPr>
              <w:t>.00</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55</w:t>
            </w:r>
            <w:r>
              <w:rPr>
                <w:rFonts w:cs="宋体" w:asciiTheme="minorEastAsia" w:hAnsiTheme="minorEastAsia" w:eastAsiaTheme="minorEastAsia"/>
                <w:bCs/>
                <w:kern w:val="0"/>
                <w:sz w:val="20"/>
                <w:szCs w:val="20"/>
              </w:rPr>
              <w:t>.00</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15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347.79</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653.51</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653.51</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15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15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347.79</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871.86</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871.86</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816"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87"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406"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atLeast"/>
        </w:trPr>
        <w:tc>
          <w:tcPr>
            <w:tcW w:w="1816"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3187"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目标1：加强基层公共文化人才队伍建设，投入力度逐步加大，服务水平稳步提升，促进基本公共文化服务标准化、均等化，覆盖城乡、惠及全民的公共文化服务体系。</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 xml:space="preserve">目标2：对接各新闻单位、媒体，把握舆论导向和宣传基调                                         </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目标3：组织开展社会宣传和舆论引导工作、负责指导全县理论学习、研究、宣传工作</w:t>
            </w:r>
          </w:p>
        </w:tc>
        <w:tc>
          <w:tcPr>
            <w:tcW w:w="3406"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已完成保障办公人员22人，保障公务用车1辆，创作优秀文艺节目5个，每月每村农村公益电影放映1次，新时代文明实践服务活动12次，出版文艺作品5部。加强基层公共文化人才队伍建设，投入力度逐步加大，服务水平稳步提升，促进基本公共文化服务标准化、均等化，覆盖城乡、惠及全民的公共文化服务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8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15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2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90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4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5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7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50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15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&gt;=22人</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木垒哈萨克自治党委宣传部机构改革方案</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22人</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cs="宋体" w:asciiTheme="minorEastAsia" w:hAnsiTheme="minorEastAsia" w:eastAsiaTheme="minorEastAsia"/>
                <w:kern w:val="0"/>
                <w:sz w:val="20"/>
                <w:szCs w:val="20"/>
              </w:rPr>
            </w:pPr>
          </w:p>
        </w:tc>
        <w:tc>
          <w:tcPr>
            <w:tcW w:w="1156" w:type="dxa"/>
            <w:vMerge w:val="continue"/>
            <w:vAlign w:val="center"/>
          </w:tcPr>
          <w:p>
            <w:pPr>
              <w:widowControl/>
              <w:jc w:val="left"/>
              <w:rPr>
                <w:rFonts w:hint="eastAsia" w:cs="宋体" w:asciiTheme="minorEastAsia" w:hAnsiTheme="minorEastAsia" w:eastAsiaTheme="minorEastAsia"/>
                <w:kern w:val="0"/>
                <w:sz w:val="20"/>
                <w:szCs w:val="20"/>
              </w:rPr>
            </w:pP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木垒哈萨克自治党委宣传部机构改革方案</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15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征订报刊质量合格率</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15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优秀文艺节目创作数量</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&gt;=5个</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5个</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cs="宋体" w:asciiTheme="minorEastAsia" w:hAnsiTheme="minorEastAsia" w:eastAsiaTheme="minorEastAsia"/>
                <w:kern w:val="0"/>
                <w:sz w:val="20"/>
                <w:szCs w:val="20"/>
              </w:rPr>
            </w:pPr>
          </w:p>
        </w:tc>
        <w:tc>
          <w:tcPr>
            <w:tcW w:w="1156" w:type="dxa"/>
            <w:vMerge w:val="continue"/>
            <w:vAlign w:val="center"/>
          </w:tcPr>
          <w:p>
            <w:pPr>
              <w:widowControl/>
              <w:jc w:val="left"/>
              <w:rPr>
                <w:rFonts w:hint="eastAsia" w:cs="宋体" w:asciiTheme="minorEastAsia" w:hAnsiTheme="minorEastAsia" w:eastAsiaTheme="minorEastAsia"/>
                <w:kern w:val="0"/>
                <w:sz w:val="20"/>
                <w:szCs w:val="20"/>
              </w:rPr>
            </w:pP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每月每村农村公益电影放映场次数量</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&gt;=1场</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1场</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cs="宋体" w:asciiTheme="minorEastAsia" w:hAnsiTheme="minorEastAsia" w:eastAsiaTheme="minorEastAsia"/>
                <w:kern w:val="0"/>
                <w:sz w:val="20"/>
                <w:szCs w:val="20"/>
              </w:rPr>
            </w:pPr>
          </w:p>
        </w:tc>
        <w:tc>
          <w:tcPr>
            <w:tcW w:w="1156" w:type="dxa"/>
            <w:vMerge w:val="continue"/>
            <w:vAlign w:val="center"/>
          </w:tcPr>
          <w:p>
            <w:pPr>
              <w:widowControl/>
              <w:jc w:val="left"/>
              <w:rPr>
                <w:rFonts w:hint="eastAsia" w:cs="宋体" w:asciiTheme="minorEastAsia" w:hAnsiTheme="minorEastAsia" w:eastAsiaTheme="minorEastAsia"/>
                <w:kern w:val="0"/>
                <w:sz w:val="20"/>
                <w:szCs w:val="20"/>
              </w:rPr>
            </w:pP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新时代文明实践志愿服务活动数量</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cs="宋体" w:asciiTheme="minorEastAsia" w:hAnsiTheme="minorEastAsia" w:eastAsiaTheme="minorEastAsia"/>
                <w:kern w:val="0"/>
                <w:sz w:val="20"/>
                <w:szCs w:val="20"/>
              </w:rPr>
            </w:pPr>
          </w:p>
        </w:tc>
        <w:tc>
          <w:tcPr>
            <w:tcW w:w="1156" w:type="dxa"/>
            <w:vMerge w:val="continue"/>
            <w:vAlign w:val="center"/>
          </w:tcPr>
          <w:p>
            <w:pPr>
              <w:widowControl/>
              <w:jc w:val="left"/>
              <w:rPr>
                <w:rFonts w:hint="eastAsia" w:cs="宋体" w:asciiTheme="minorEastAsia" w:hAnsiTheme="minorEastAsia" w:eastAsiaTheme="minorEastAsia"/>
                <w:kern w:val="0"/>
                <w:sz w:val="20"/>
                <w:szCs w:val="20"/>
              </w:rPr>
            </w:pP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出版文艺作品数量</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&gt;=5部</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5部</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cs="宋体" w:asciiTheme="minorEastAsia" w:hAnsiTheme="minorEastAsia" w:eastAsiaTheme="minorEastAsia"/>
                <w:kern w:val="0"/>
                <w:sz w:val="20"/>
                <w:szCs w:val="20"/>
              </w:rPr>
            </w:pPr>
          </w:p>
        </w:tc>
        <w:tc>
          <w:tcPr>
            <w:tcW w:w="115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新闻稿件写作完成合格率</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156" w:type="dxa"/>
            <w:vMerge w:val="continue"/>
            <w:vAlign w:val="center"/>
          </w:tcPr>
          <w:p>
            <w:pPr>
              <w:widowControl/>
              <w:jc w:val="left"/>
              <w:rPr>
                <w:rFonts w:hint="eastAsia" w:cs="宋体" w:asciiTheme="minorEastAsia" w:hAnsiTheme="minorEastAsia" w:eastAsiaTheme="minorEastAsia"/>
                <w:kern w:val="0"/>
                <w:sz w:val="20"/>
                <w:szCs w:val="20"/>
              </w:rPr>
            </w:pP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156" w:type="dxa"/>
            <w:vMerge w:val="continue"/>
            <w:vAlign w:val="center"/>
          </w:tcPr>
          <w:p>
            <w:pPr>
              <w:widowControl/>
              <w:jc w:val="left"/>
              <w:rPr>
                <w:rFonts w:hint="eastAsia" w:cs="宋体" w:asciiTheme="minorEastAsia" w:hAnsiTheme="minorEastAsia" w:eastAsiaTheme="minorEastAsia"/>
                <w:kern w:val="0"/>
                <w:sz w:val="20"/>
                <w:szCs w:val="20"/>
              </w:rPr>
            </w:pP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156" w:type="dxa"/>
            <w:vMerge w:val="continue"/>
            <w:vAlign w:val="center"/>
          </w:tcPr>
          <w:p>
            <w:pPr>
              <w:widowControl/>
              <w:jc w:val="left"/>
              <w:rPr>
                <w:rFonts w:hint="eastAsia" w:cs="宋体" w:asciiTheme="minorEastAsia" w:hAnsiTheme="minorEastAsia" w:eastAsiaTheme="minorEastAsia"/>
                <w:kern w:val="0"/>
                <w:sz w:val="20"/>
                <w:szCs w:val="20"/>
              </w:rPr>
            </w:pPr>
          </w:p>
        </w:tc>
        <w:tc>
          <w:tcPr>
            <w:tcW w:w="112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群众满意度</w:t>
            </w:r>
          </w:p>
        </w:tc>
        <w:tc>
          <w:tcPr>
            <w:tcW w:w="90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5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7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50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42"/>
        <w:gridCol w:w="879"/>
        <w:gridCol w:w="641"/>
        <w:gridCol w:w="961"/>
        <w:gridCol w:w="615"/>
        <w:gridCol w:w="816"/>
        <w:gridCol w:w="716"/>
        <w:gridCol w:w="406"/>
        <w:gridCol w:w="356"/>
        <w:gridCol w:w="418"/>
        <w:gridCol w:w="435"/>
        <w:gridCol w:w="481"/>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4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2023年春节慰问资金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1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8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82" w:type="dxa"/>
            <w:gridSpan w:val="2"/>
            <w:vMerge w:val="continue"/>
            <w:vAlign w:val="center"/>
          </w:tcPr>
          <w:p>
            <w:pPr>
              <w:widowControl/>
              <w:jc w:val="left"/>
              <w:rPr>
                <w:rFonts w:hint="eastAsia" w:ascii="宋体" w:hAnsi="宋体" w:cs="宋体"/>
                <w:color w:val="000000"/>
                <w:kern w:val="0"/>
                <w:sz w:val="20"/>
                <w:szCs w:val="20"/>
              </w:rPr>
            </w:pP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7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82" w:type="dxa"/>
            <w:gridSpan w:val="2"/>
            <w:vMerge w:val="continue"/>
            <w:vAlign w:val="center"/>
          </w:tcPr>
          <w:p>
            <w:pPr>
              <w:widowControl/>
              <w:jc w:val="left"/>
              <w:rPr>
                <w:rFonts w:hint="eastAsia" w:ascii="宋体" w:hAnsi="宋体" w:cs="宋体"/>
                <w:color w:val="000000"/>
                <w:kern w:val="0"/>
                <w:sz w:val="20"/>
                <w:szCs w:val="20"/>
              </w:rPr>
            </w:pP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7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82" w:type="dxa"/>
            <w:gridSpan w:val="2"/>
            <w:vMerge w:val="continue"/>
            <w:vAlign w:val="center"/>
          </w:tcPr>
          <w:p>
            <w:pPr>
              <w:widowControl/>
              <w:jc w:val="left"/>
              <w:rPr>
                <w:rFonts w:hint="eastAsia" w:ascii="宋体" w:hAnsi="宋体" w:cs="宋体"/>
                <w:color w:val="000000"/>
                <w:kern w:val="0"/>
                <w:sz w:val="20"/>
                <w:szCs w:val="20"/>
              </w:rPr>
            </w:pPr>
          </w:p>
        </w:tc>
        <w:tc>
          <w:tcPr>
            <w:tcW w:w="152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6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3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22"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445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文件要求，计划春节期间使用2023年春节慰问资金，购买方便面、水果、酸奶等慰问高山电视台工作人员，为一线工作人员送温暖，表达党和政府的关怀，确保一线工作人员过一个温暖、祥和的节日。</w:t>
            </w:r>
          </w:p>
        </w:tc>
        <w:tc>
          <w:tcPr>
            <w:tcW w:w="35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截止本项目完成日期：已完成慰问高山电视台工作人员1次，为一线工作人员送温暖，确保一线工作人员过一个温暖、祥和的节日。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5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7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6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vMerge w:val="continue"/>
            <w:vAlign w:val="center"/>
          </w:tcPr>
          <w:p>
            <w:pPr>
              <w:widowControl/>
              <w:jc w:val="left"/>
              <w:rPr>
                <w:rFonts w:hint="eastAsia" w:ascii="宋体" w:hAnsi="宋体" w:cs="宋体"/>
                <w:color w:val="000000"/>
                <w:kern w:val="0"/>
                <w:sz w:val="20"/>
                <w:szCs w:val="20"/>
              </w:rPr>
            </w:pPr>
          </w:p>
        </w:tc>
        <w:tc>
          <w:tcPr>
            <w:tcW w:w="2217"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762" w:type="dxa"/>
            <w:gridSpan w:val="2"/>
            <w:vMerge w:val="continue"/>
            <w:vAlign w:val="center"/>
          </w:tcPr>
          <w:p>
            <w:pPr>
              <w:widowControl/>
              <w:jc w:val="left"/>
              <w:rPr>
                <w:rFonts w:hint="eastAsia" w:ascii="宋体" w:hAnsi="宋体" w:cs="宋体"/>
                <w:color w:val="000000"/>
                <w:kern w:val="0"/>
                <w:sz w:val="20"/>
                <w:szCs w:val="20"/>
              </w:rPr>
            </w:pPr>
          </w:p>
        </w:tc>
        <w:tc>
          <w:tcPr>
            <w:tcW w:w="853" w:type="dxa"/>
            <w:gridSpan w:val="2"/>
            <w:vMerge w:val="continue"/>
            <w:vAlign w:val="center"/>
          </w:tcPr>
          <w:p>
            <w:pPr>
              <w:widowControl/>
              <w:jc w:val="left"/>
              <w:rPr>
                <w:rFonts w:hint="eastAsia" w:ascii="宋体" w:hAnsi="宋体" w:cs="宋体"/>
                <w:color w:val="000000"/>
                <w:kern w:val="0"/>
                <w:sz w:val="20"/>
                <w:szCs w:val="20"/>
              </w:rPr>
            </w:pPr>
          </w:p>
        </w:tc>
        <w:tc>
          <w:tcPr>
            <w:tcW w:w="1197"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慰问单位数量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购买慰问品质量合格率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慰问品购买及时率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慰问一线工作人员数量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vMerge w:val="continue"/>
            <w:vAlign w:val="center"/>
          </w:tcPr>
          <w:p>
            <w:pPr>
              <w:widowControl/>
              <w:jc w:val="left"/>
              <w:rPr>
                <w:rFonts w:hint="eastAsia" w:ascii="宋体" w:hAnsi="宋体" w:cs="宋体"/>
                <w:color w:val="000000"/>
                <w:kern w:val="0"/>
                <w:sz w:val="20"/>
                <w:szCs w:val="20"/>
              </w:rPr>
            </w:pP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40" w:type="dxa"/>
            <w:vMerge w:val="continue"/>
            <w:vAlign w:val="center"/>
          </w:tcPr>
          <w:p>
            <w:pPr>
              <w:widowControl/>
              <w:jc w:val="left"/>
              <w:rPr>
                <w:rFonts w:hint="eastAsia" w:ascii="宋体" w:hAnsi="宋体" w:cs="宋体"/>
                <w:color w:val="000000"/>
                <w:kern w:val="0"/>
                <w:sz w:val="20"/>
                <w:szCs w:val="20"/>
              </w:rPr>
            </w:pPr>
          </w:p>
        </w:tc>
        <w:tc>
          <w:tcPr>
            <w:tcW w:w="54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一线工作人员满意度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10"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22"/>
        <w:gridCol w:w="157"/>
        <w:gridCol w:w="1692"/>
        <w:gridCol w:w="568"/>
        <w:gridCol w:w="816"/>
        <w:gridCol w:w="989"/>
        <w:gridCol w:w="905"/>
        <w:gridCol w:w="206"/>
        <w:gridCol w:w="403"/>
        <w:gridCol w:w="5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2023年党报党刊征订及党委理论学习材料经费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5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11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11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6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8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37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号《关于申请2023年木垒县党报党刊征订及党委理论学习材料经费》文件要求，计划使用该资金征订党报党刊及党委理论学习材料经费，扎实推进2023年理论学习中心组工作，打好意识形态领域工作基础。</w:t>
            </w:r>
          </w:p>
        </w:tc>
        <w:tc>
          <w:tcPr>
            <w:tcW w:w="373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截止本项目完成日期：已完成党报党刊征订数量3250份，组织中心组学习次数12次，该项目的实施，扎实推进2023年理论学习中心组</w:t>
            </w:r>
            <w:bookmarkStart w:id="49" w:name="_GoBack"/>
            <w:bookmarkEnd w:id="49"/>
            <w:r>
              <w:rPr>
                <w:rFonts w:hint="eastAsia" w:ascii="宋体" w:hAnsi="宋体" w:cs="宋体"/>
                <w:color w:val="000000"/>
                <w:kern w:val="0"/>
                <w:sz w:val="20"/>
                <w:szCs w:val="20"/>
              </w:rPr>
              <w:t>工作，打好意识形态领域工作基础。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8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0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vMerge w:val="continue"/>
            <w:vAlign w:val="center"/>
          </w:tcPr>
          <w:p>
            <w:pPr>
              <w:widowControl/>
              <w:jc w:val="left"/>
              <w:rPr>
                <w:rFonts w:hint="eastAsia" w:ascii="宋体" w:hAnsi="宋体" w:cs="宋体"/>
                <w:color w:val="000000"/>
                <w:kern w:val="0"/>
                <w:sz w:val="20"/>
                <w:szCs w:val="20"/>
              </w:rPr>
            </w:pPr>
          </w:p>
        </w:tc>
        <w:tc>
          <w:tcPr>
            <w:tcW w:w="2417"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989" w:type="dxa"/>
            <w:vMerge w:val="continue"/>
            <w:vAlign w:val="center"/>
          </w:tcPr>
          <w:p>
            <w:pPr>
              <w:widowControl/>
              <w:jc w:val="left"/>
              <w:rPr>
                <w:rFonts w:hint="eastAsia" w:ascii="宋体" w:hAnsi="宋体" w:cs="宋体"/>
                <w:color w:val="000000"/>
                <w:kern w:val="0"/>
                <w:sz w:val="20"/>
                <w:szCs w:val="20"/>
              </w:rPr>
            </w:pPr>
          </w:p>
        </w:tc>
        <w:tc>
          <w:tcPr>
            <w:tcW w:w="905" w:type="dxa"/>
            <w:vMerge w:val="continue"/>
            <w:vAlign w:val="center"/>
          </w:tcPr>
          <w:p>
            <w:pPr>
              <w:widowControl/>
              <w:jc w:val="left"/>
              <w:rPr>
                <w:rFonts w:hint="eastAsia" w:ascii="宋体" w:hAnsi="宋体" w:cs="宋体"/>
                <w:color w:val="000000"/>
                <w:kern w:val="0"/>
                <w:sz w:val="20"/>
                <w:szCs w:val="20"/>
              </w:rPr>
            </w:pPr>
          </w:p>
        </w:tc>
        <w:tc>
          <w:tcPr>
            <w:tcW w:w="609" w:type="dxa"/>
            <w:gridSpan w:val="2"/>
            <w:vMerge w:val="continue"/>
            <w:vAlign w:val="center"/>
          </w:tcPr>
          <w:p>
            <w:pPr>
              <w:widowControl/>
              <w:jc w:val="left"/>
              <w:rPr>
                <w:rFonts w:hint="eastAsia" w:ascii="宋体" w:hAnsi="宋体" w:cs="宋体"/>
                <w:color w:val="000000"/>
                <w:kern w:val="0"/>
                <w:sz w:val="20"/>
                <w:szCs w:val="20"/>
              </w:rPr>
            </w:pPr>
          </w:p>
        </w:tc>
        <w:tc>
          <w:tcPr>
            <w:tcW w:w="123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党报党刊征订数量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&gt;=3250份</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=3250份</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中心组学习次数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征订报刊质量合格率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报刊订阅及时率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人均经费标准</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&lt;=0.10万元</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=0.1万元</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提高干部政治意识和素养</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学习人员满意度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8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7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3"/>
        <w:gridCol w:w="435"/>
        <w:gridCol w:w="1502"/>
        <w:gridCol w:w="602"/>
        <w:gridCol w:w="816"/>
        <w:gridCol w:w="1181"/>
        <w:gridCol w:w="656"/>
        <w:gridCol w:w="269"/>
        <w:gridCol w:w="356"/>
        <w:gridCol w:w="464"/>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2023年度“为民办实事”驻村工作队经费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9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9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0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8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6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4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6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16号《2023年度驻村工作工作队经费》文件，用于驻村工作队日常办公，做好村群众工作，为群众送温暖，送服务，积极开展各类活动，该项目的实施，解决村民困难，为村民送温暖，为社会长治久安打下坚实基础。</w:t>
            </w:r>
          </w:p>
        </w:tc>
        <w:tc>
          <w:tcPr>
            <w:tcW w:w="3642"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截止项目完成日期：已完成补助工作队数量1个，为民办好事5次，该项目的实施，解决村民困难，为村民送温暖，为社会长治久安打下坚实基础。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39"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8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2539"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1181" w:type="dxa"/>
            <w:vMerge w:val="continue"/>
            <w:vAlign w:val="center"/>
          </w:tcPr>
          <w:p>
            <w:pPr>
              <w:widowControl/>
              <w:jc w:val="left"/>
              <w:rPr>
                <w:rFonts w:hint="eastAsia" w:ascii="宋体" w:hAnsi="宋体" w:cs="宋体"/>
                <w:color w:val="000000"/>
                <w:kern w:val="0"/>
                <w:sz w:val="20"/>
                <w:szCs w:val="20"/>
              </w:rPr>
            </w:pPr>
          </w:p>
        </w:tc>
        <w:tc>
          <w:tcPr>
            <w:tcW w:w="656" w:type="dxa"/>
            <w:vMerge w:val="continue"/>
            <w:vAlign w:val="center"/>
          </w:tcPr>
          <w:p>
            <w:pPr>
              <w:widowControl/>
              <w:jc w:val="left"/>
              <w:rPr>
                <w:rFonts w:hint="eastAsia" w:ascii="宋体" w:hAnsi="宋体" w:cs="宋体"/>
                <w:color w:val="000000"/>
                <w:kern w:val="0"/>
                <w:sz w:val="20"/>
                <w:szCs w:val="20"/>
              </w:rPr>
            </w:pPr>
          </w:p>
        </w:tc>
        <w:tc>
          <w:tcPr>
            <w:tcW w:w="625" w:type="dxa"/>
            <w:gridSpan w:val="2"/>
            <w:vMerge w:val="continue"/>
            <w:vAlign w:val="center"/>
          </w:tcPr>
          <w:p>
            <w:pPr>
              <w:widowControl/>
              <w:jc w:val="left"/>
              <w:rPr>
                <w:rFonts w:hint="eastAsia" w:ascii="宋体" w:hAnsi="宋体" w:cs="宋体"/>
                <w:color w:val="000000"/>
                <w:kern w:val="0"/>
                <w:sz w:val="20"/>
                <w:szCs w:val="20"/>
              </w:rPr>
            </w:pPr>
          </w:p>
        </w:tc>
        <w:tc>
          <w:tcPr>
            <w:tcW w:w="118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村民问题解决及时率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工作队工作正常开展率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06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40"/>
        <w:gridCol w:w="417"/>
        <w:gridCol w:w="1114"/>
        <w:gridCol w:w="702"/>
        <w:gridCol w:w="817"/>
        <w:gridCol w:w="716"/>
        <w:gridCol w:w="7"/>
        <w:gridCol w:w="1377"/>
        <w:gridCol w:w="266"/>
        <w:gridCol w:w="362"/>
        <w:gridCol w:w="55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2023年宣传部五部文艺作品出版费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9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7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7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7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7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3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1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2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0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0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0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依据木财预字【2023】3号文件要求，计划使用2023年宣传部五部文艺作品出版费积极组织文艺工作爱好者创作多元文艺作品，与时代同步、弘扬正能量。</w:t>
            </w:r>
          </w:p>
        </w:tc>
        <w:tc>
          <w:tcPr>
            <w:tcW w:w="400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截止本项目完成日期：已完成出版文艺作品5部，该项目的实施，使文艺工作爱好者创作了多元文艺作品，与时代同步、弘扬正能里。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5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38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vMerge w:val="continue"/>
            <w:vAlign w:val="center"/>
          </w:tcPr>
          <w:p>
            <w:pPr>
              <w:widowControl/>
              <w:jc w:val="left"/>
              <w:rPr>
                <w:rFonts w:hint="eastAsia" w:ascii="宋体" w:hAnsi="宋体" w:cs="宋体"/>
                <w:color w:val="000000"/>
                <w:kern w:val="0"/>
                <w:sz w:val="20"/>
                <w:szCs w:val="20"/>
              </w:rPr>
            </w:pPr>
          </w:p>
        </w:tc>
        <w:tc>
          <w:tcPr>
            <w:tcW w:w="1816" w:type="dxa"/>
            <w:gridSpan w:val="2"/>
            <w:vMerge w:val="continue"/>
            <w:vAlign w:val="center"/>
          </w:tcPr>
          <w:p>
            <w:pPr>
              <w:widowControl/>
              <w:jc w:val="left"/>
              <w:rPr>
                <w:rFonts w:hint="eastAsia" w:ascii="宋体" w:hAnsi="宋体" w:cs="宋体"/>
                <w:color w:val="000000"/>
                <w:kern w:val="0"/>
                <w:sz w:val="20"/>
                <w:szCs w:val="20"/>
              </w:rPr>
            </w:pPr>
          </w:p>
        </w:tc>
        <w:tc>
          <w:tcPr>
            <w:tcW w:w="817"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384" w:type="dxa"/>
            <w:gridSpan w:val="2"/>
            <w:vMerge w:val="continue"/>
            <w:vAlign w:val="center"/>
          </w:tcPr>
          <w:p>
            <w:pPr>
              <w:widowControl/>
              <w:jc w:val="left"/>
              <w:rPr>
                <w:rFonts w:hint="eastAsia" w:ascii="宋体" w:hAnsi="宋体" w:cs="宋体"/>
                <w:color w:val="000000"/>
                <w:kern w:val="0"/>
                <w:sz w:val="20"/>
                <w:szCs w:val="20"/>
              </w:rPr>
            </w:pPr>
          </w:p>
        </w:tc>
        <w:tc>
          <w:tcPr>
            <w:tcW w:w="628" w:type="dxa"/>
            <w:gridSpan w:val="2"/>
            <w:vMerge w:val="continue"/>
            <w:vAlign w:val="center"/>
          </w:tcPr>
          <w:p>
            <w:pPr>
              <w:widowControl/>
              <w:jc w:val="left"/>
              <w:rPr>
                <w:rFonts w:hint="eastAsia" w:ascii="宋体" w:hAnsi="宋体" w:cs="宋体"/>
                <w:color w:val="000000"/>
                <w:kern w:val="0"/>
                <w:sz w:val="20"/>
                <w:szCs w:val="20"/>
              </w:rPr>
            </w:pPr>
          </w:p>
        </w:tc>
        <w:tc>
          <w:tcPr>
            <w:tcW w:w="127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出版文艺作品数量</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&gt;=5部</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=5部</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作品创作合格率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作品完成及时率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文艺作品传阅率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艺术家满意度</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23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3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30"/>
        <w:gridCol w:w="349"/>
        <w:gridCol w:w="1764"/>
        <w:gridCol w:w="702"/>
        <w:gridCol w:w="818"/>
        <w:gridCol w:w="1011"/>
        <w:gridCol w:w="516"/>
        <w:gridCol w:w="165"/>
        <w:gridCol w:w="403"/>
        <w:gridCol w:w="5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2023年自治区“为民办实事”驻村（社区）工作专项经费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6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6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6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7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6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2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1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7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2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77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依据木财预字[2023]74号《关于落实2023年自治区</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驻村（社区）工作专项经费保障的报告》 文件，用于驻村工作队日常办公，做好村群众工作，为群众送温暖，送服务，积极开展各类活动，该项目的实施，解决村民困难，为村民送温暖，为社会长治久安打下坚实基础。</w:t>
            </w:r>
          </w:p>
        </w:tc>
        <w:tc>
          <w:tcPr>
            <w:tcW w:w="332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截止项目完成日期：已完成补助</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工作队数量1个，为民办好事5次，该项目的实施，解决村民困难，为村民送温暖，为社会长治久安打下坚实基础。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15"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vMerge w:val="continue"/>
            <w:vAlign w:val="center"/>
          </w:tcPr>
          <w:p>
            <w:pPr>
              <w:widowControl/>
              <w:jc w:val="left"/>
              <w:rPr>
                <w:rFonts w:hint="eastAsia" w:ascii="宋体" w:hAnsi="宋体" w:cs="宋体"/>
                <w:color w:val="000000"/>
                <w:kern w:val="0"/>
                <w:sz w:val="20"/>
                <w:szCs w:val="20"/>
              </w:rPr>
            </w:pPr>
          </w:p>
        </w:tc>
        <w:tc>
          <w:tcPr>
            <w:tcW w:w="2815" w:type="dxa"/>
            <w:gridSpan w:val="3"/>
            <w:vMerge w:val="continue"/>
            <w:vAlign w:val="center"/>
          </w:tcPr>
          <w:p>
            <w:pPr>
              <w:widowControl/>
              <w:jc w:val="left"/>
              <w:rPr>
                <w:rFonts w:hint="eastAsia" w:ascii="宋体" w:hAnsi="宋体" w:cs="宋体"/>
                <w:color w:val="000000"/>
                <w:kern w:val="0"/>
                <w:sz w:val="20"/>
                <w:szCs w:val="20"/>
              </w:rPr>
            </w:pPr>
          </w:p>
        </w:tc>
        <w:tc>
          <w:tcPr>
            <w:tcW w:w="818" w:type="dxa"/>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568" w:type="dxa"/>
            <w:gridSpan w:val="2"/>
            <w:vMerge w:val="continue"/>
            <w:vAlign w:val="center"/>
          </w:tcPr>
          <w:p>
            <w:pPr>
              <w:widowControl/>
              <w:jc w:val="left"/>
              <w:rPr>
                <w:rFonts w:hint="eastAsia" w:ascii="宋体" w:hAnsi="宋体" w:cs="宋体"/>
                <w:color w:val="000000"/>
                <w:kern w:val="0"/>
                <w:sz w:val="20"/>
                <w:szCs w:val="20"/>
              </w:rPr>
            </w:pPr>
          </w:p>
        </w:tc>
        <w:tc>
          <w:tcPr>
            <w:tcW w:w="123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为民办好事次数</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村民问题解决及时率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工作队工作正常开展率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1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0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28"/>
        <w:gridCol w:w="290"/>
        <w:gridCol w:w="1657"/>
        <w:gridCol w:w="669"/>
        <w:gridCol w:w="716"/>
        <w:gridCol w:w="1090"/>
        <w:gridCol w:w="741"/>
        <w:gridCol w:w="165"/>
        <w:gridCol w:w="402"/>
        <w:gridCol w:w="5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木垒县宣传部2023年度州级重点人才项目经费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4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65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9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3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7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28《关于下达昌吉州2023年度州级重点人才项目经费的通知》要求，计划使用2023年度州级重点人才项目经费，补助木垒县亮程文化高层次人才工作室，该项目实施后，使文化领域人才引进得到加强，优化人才服务激励水平。</w:t>
            </w:r>
          </w:p>
        </w:tc>
        <w:tc>
          <w:tcPr>
            <w:tcW w:w="363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截止项目完成日期：已完成州级重点人才项目数量1个，该项目实施后，使文化领域人才引进得到加强，优化人才服务激励水平。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9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4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vMerge w:val="continue"/>
            <w:vAlign w:val="center"/>
          </w:tcPr>
          <w:p>
            <w:pPr>
              <w:widowControl/>
              <w:jc w:val="left"/>
              <w:rPr>
                <w:rFonts w:hint="eastAsia" w:ascii="宋体" w:hAnsi="宋体" w:cs="宋体"/>
                <w:color w:val="000000"/>
                <w:kern w:val="0"/>
                <w:sz w:val="20"/>
                <w:szCs w:val="20"/>
              </w:rPr>
            </w:pPr>
          </w:p>
        </w:tc>
        <w:tc>
          <w:tcPr>
            <w:tcW w:w="2616" w:type="dxa"/>
            <w:gridSpan w:val="3"/>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090" w:type="dxa"/>
            <w:vMerge w:val="continue"/>
            <w:vAlign w:val="center"/>
          </w:tcPr>
          <w:p>
            <w:pPr>
              <w:widowControl/>
              <w:jc w:val="left"/>
              <w:rPr>
                <w:rFonts w:hint="eastAsia" w:ascii="宋体" w:hAnsi="宋体" w:cs="宋体"/>
                <w:color w:val="000000"/>
                <w:kern w:val="0"/>
                <w:sz w:val="20"/>
                <w:szCs w:val="20"/>
              </w:rPr>
            </w:pPr>
          </w:p>
        </w:tc>
        <w:tc>
          <w:tcPr>
            <w:tcW w:w="741" w:type="dxa"/>
            <w:vMerge w:val="continue"/>
            <w:vAlign w:val="center"/>
          </w:tcPr>
          <w:p>
            <w:pPr>
              <w:widowControl/>
              <w:jc w:val="left"/>
              <w:rPr>
                <w:rFonts w:hint="eastAsia" w:ascii="宋体" w:hAnsi="宋体" w:cs="宋体"/>
                <w:color w:val="000000"/>
                <w:kern w:val="0"/>
                <w:sz w:val="20"/>
                <w:szCs w:val="20"/>
              </w:rPr>
            </w:pPr>
          </w:p>
        </w:tc>
        <w:tc>
          <w:tcPr>
            <w:tcW w:w="567" w:type="dxa"/>
            <w:gridSpan w:val="2"/>
            <w:vMerge w:val="continue"/>
            <w:vAlign w:val="center"/>
          </w:tcPr>
          <w:p>
            <w:pPr>
              <w:widowControl/>
              <w:jc w:val="left"/>
              <w:rPr>
                <w:rFonts w:hint="eastAsia" w:ascii="宋体" w:hAnsi="宋体" w:cs="宋体"/>
                <w:color w:val="000000"/>
                <w:kern w:val="0"/>
                <w:sz w:val="20"/>
                <w:szCs w:val="20"/>
              </w:rPr>
            </w:pPr>
          </w:p>
        </w:tc>
        <w:tc>
          <w:tcPr>
            <w:tcW w:w="123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完成州级重点人才项目数量</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&lt;=60天</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=60天</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购买图书费用</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微信平台维护费</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提供人才保障率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人才群体满意度</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8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58"/>
        <w:gridCol w:w="113"/>
        <w:gridCol w:w="2146"/>
        <w:gridCol w:w="857"/>
        <w:gridCol w:w="816"/>
        <w:gridCol w:w="716"/>
        <w:gridCol w:w="516"/>
        <w:gridCol w:w="135"/>
        <w:gridCol w:w="404"/>
        <w:gridCol w:w="513"/>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木垒县宣传部自治区智能微型图书馆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9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8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1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16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1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16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14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7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0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0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510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依据木财预字【2023】66号文件要求，计划使用文化润疆补助经费，购买1台24小时智能微型图书馆，该项目实施后，提高全民阅读率，增厚读书氛围。</w:t>
            </w:r>
          </w:p>
        </w:tc>
        <w:tc>
          <w:tcPr>
            <w:tcW w:w="300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截止项目完成日期：已完成购买24小时智能微型图书馆1辆，该项目实施后，提高全民阅读率，增厚读书氛围。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11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2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vMerge w:val="continue"/>
            <w:vAlign w:val="center"/>
          </w:tcPr>
          <w:p>
            <w:pPr>
              <w:widowControl/>
              <w:jc w:val="left"/>
              <w:rPr>
                <w:rFonts w:hint="eastAsia" w:ascii="宋体" w:hAnsi="宋体" w:cs="宋体"/>
                <w:color w:val="000000"/>
                <w:kern w:val="0"/>
                <w:sz w:val="20"/>
                <w:szCs w:val="20"/>
              </w:rPr>
            </w:pPr>
          </w:p>
        </w:tc>
        <w:tc>
          <w:tcPr>
            <w:tcW w:w="3116"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539" w:type="dxa"/>
            <w:gridSpan w:val="2"/>
            <w:vMerge w:val="continue"/>
            <w:vAlign w:val="center"/>
          </w:tcPr>
          <w:p>
            <w:pPr>
              <w:widowControl/>
              <w:jc w:val="left"/>
              <w:rPr>
                <w:rFonts w:hint="eastAsia" w:ascii="宋体" w:hAnsi="宋体" w:cs="宋体"/>
                <w:color w:val="000000"/>
                <w:kern w:val="0"/>
                <w:sz w:val="20"/>
                <w:szCs w:val="20"/>
              </w:rPr>
            </w:pPr>
          </w:p>
        </w:tc>
        <w:tc>
          <w:tcPr>
            <w:tcW w:w="1229"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购买24小时智能微型图书馆数量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采购完成时间</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设备正常使用率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公众阅读提升率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使用者满意度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3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23"/>
        <w:gridCol w:w="1136"/>
        <w:gridCol w:w="480"/>
        <w:gridCol w:w="816"/>
        <w:gridCol w:w="1314"/>
        <w:gridCol w:w="1038"/>
        <w:gridCol w:w="349"/>
        <w:gridCol w:w="347"/>
        <w:gridCol w:w="571"/>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宣传部《援疆干部》拍摄经费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5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2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2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9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77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3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771"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依据昌州财预【2023】28号文件《&lt;援疆干部&gt;拍摄经费》，计划使用《援疆干部》拍摄经费拍摄制作《援疆干部》，该项目的实施，使大众了解援疆干部在疆工作情况，充分展现援疆干部风采。</w:t>
            </w:r>
          </w:p>
        </w:tc>
        <w:tc>
          <w:tcPr>
            <w:tcW w:w="433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截止本项目完成日期：已完成拍摄影片数量1部，该项目的实施，使大众了解援疆干部在疆工作情况，充分展现援疆干部风采。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8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vMerge w:val="continue"/>
            <w:vAlign w:val="center"/>
          </w:tcPr>
          <w:p>
            <w:pPr>
              <w:widowControl/>
              <w:jc w:val="left"/>
              <w:rPr>
                <w:rFonts w:hint="eastAsia" w:ascii="宋体" w:hAnsi="宋体" w:cs="宋体"/>
                <w:color w:val="000000"/>
                <w:kern w:val="0"/>
                <w:sz w:val="20"/>
                <w:szCs w:val="20"/>
              </w:rPr>
            </w:pPr>
          </w:p>
        </w:tc>
        <w:tc>
          <w:tcPr>
            <w:tcW w:w="1616" w:type="dxa"/>
            <w:gridSpan w:val="2"/>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1314" w:type="dxa"/>
            <w:vMerge w:val="continue"/>
            <w:vAlign w:val="center"/>
          </w:tcPr>
          <w:p>
            <w:pPr>
              <w:widowControl/>
              <w:jc w:val="left"/>
              <w:rPr>
                <w:rFonts w:hint="eastAsia" w:ascii="宋体" w:hAnsi="宋体" w:cs="宋体"/>
                <w:color w:val="000000"/>
                <w:kern w:val="0"/>
                <w:sz w:val="20"/>
                <w:szCs w:val="20"/>
              </w:rPr>
            </w:pPr>
          </w:p>
        </w:tc>
        <w:tc>
          <w:tcPr>
            <w:tcW w:w="1038" w:type="dxa"/>
            <w:vMerge w:val="continue"/>
            <w:vAlign w:val="center"/>
          </w:tcPr>
          <w:p>
            <w:pPr>
              <w:widowControl/>
              <w:jc w:val="left"/>
              <w:rPr>
                <w:rFonts w:hint="eastAsia" w:ascii="宋体" w:hAnsi="宋体" w:cs="宋体"/>
                <w:color w:val="000000"/>
                <w:kern w:val="0"/>
                <w:sz w:val="20"/>
                <w:szCs w:val="20"/>
              </w:rPr>
            </w:pPr>
          </w:p>
        </w:tc>
        <w:tc>
          <w:tcPr>
            <w:tcW w:w="696" w:type="dxa"/>
            <w:gridSpan w:val="2"/>
            <w:vMerge w:val="continue"/>
            <w:vAlign w:val="center"/>
          </w:tcPr>
          <w:p>
            <w:pPr>
              <w:widowControl/>
              <w:jc w:val="left"/>
              <w:rPr>
                <w:rFonts w:hint="eastAsia" w:ascii="宋体" w:hAnsi="宋体" w:cs="宋体"/>
                <w:color w:val="000000"/>
                <w:kern w:val="0"/>
                <w:sz w:val="20"/>
                <w:szCs w:val="20"/>
              </w:rPr>
            </w:pPr>
          </w:p>
        </w:tc>
        <w:tc>
          <w:tcPr>
            <w:tcW w:w="1287"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拍摄影片数量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&gt;=1部</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=1部</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电影拍摄合格率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电影完成及时率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电影收视率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艺术家满意度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0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404"/>
        <w:gridCol w:w="1144"/>
        <w:gridCol w:w="34"/>
        <w:gridCol w:w="2173"/>
        <w:gridCol w:w="205"/>
        <w:gridCol w:w="1232"/>
        <w:gridCol w:w="683"/>
        <w:gridCol w:w="218"/>
        <w:gridCol w:w="293"/>
        <w:gridCol w:w="167"/>
        <w:gridCol w:w="390"/>
        <w:gridCol w:w="494"/>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15"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宣传部上级媒体宣传合作费用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8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9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2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0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8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07" w:type="dxa"/>
            <w:gridSpan w:val="2"/>
            <w:vMerge w:val="continue"/>
            <w:vAlign w:val="center"/>
          </w:tcPr>
          <w:p>
            <w:pPr>
              <w:widowControl/>
              <w:jc w:val="left"/>
              <w:rPr>
                <w:rFonts w:hint="eastAsia" w:ascii="宋体" w:hAnsi="宋体" w:cs="宋体"/>
                <w:color w:val="000000"/>
                <w:kern w:val="0"/>
                <w:sz w:val="20"/>
                <w:szCs w:val="20"/>
              </w:rPr>
            </w:pPr>
          </w:p>
        </w:tc>
        <w:tc>
          <w:tcPr>
            <w:tcW w:w="11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14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9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4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8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07" w:type="dxa"/>
            <w:gridSpan w:val="2"/>
            <w:vMerge w:val="continue"/>
            <w:vAlign w:val="center"/>
          </w:tcPr>
          <w:p>
            <w:pPr>
              <w:widowControl/>
              <w:jc w:val="left"/>
              <w:rPr>
                <w:rFonts w:hint="eastAsia" w:ascii="宋体" w:hAnsi="宋体" w:cs="宋体"/>
                <w:color w:val="000000"/>
                <w:kern w:val="0"/>
                <w:sz w:val="20"/>
                <w:szCs w:val="20"/>
              </w:rPr>
            </w:pPr>
          </w:p>
        </w:tc>
        <w:tc>
          <w:tcPr>
            <w:tcW w:w="11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14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9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4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07" w:type="dxa"/>
            <w:gridSpan w:val="2"/>
            <w:vMerge w:val="continue"/>
            <w:vAlign w:val="center"/>
          </w:tcPr>
          <w:p>
            <w:pPr>
              <w:widowControl/>
              <w:jc w:val="left"/>
              <w:rPr>
                <w:rFonts w:hint="eastAsia" w:ascii="宋体" w:hAnsi="宋体" w:cs="宋体"/>
                <w:color w:val="000000"/>
                <w:kern w:val="0"/>
                <w:sz w:val="20"/>
                <w:szCs w:val="20"/>
              </w:rPr>
            </w:pPr>
          </w:p>
        </w:tc>
        <w:tc>
          <w:tcPr>
            <w:tcW w:w="117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17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37"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0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9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2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5192"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号文件，计划使用2023年宣传部上级媒体合作资金与多家媒体合作，加强全媒体传播体系，发挥好媒体举旗帜、聚民心、育新人、兴文化、展形象的使命任务，持续做好新闻外宣工作，更好的宣传、服务各项事业的发展。</w:t>
            </w:r>
          </w:p>
        </w:tc>
        <w:tc>
          <w:tcPr>
            <w:tcW w:w="2927"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与5家媒体合作，发布宣传稿件数量150篇，举办宣传活动数量12次，业务骨干培训4次，该项目的实施加强全媒体传播体系，发挥好媒体举旗帜、聚民心、育新人、兴文化、展形象的使命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2"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8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vMerge w:val="continue"/>
            <w:vAlign w:val="center"/>
          </w:tcPr>
          <w:p>
            <w:pPr>
              <w:widowControl/>
              <w:jc w:val="left"/>
              <w:rPr>
                <w:rFonts w:hint="eastAsia" w:ascii="宋体" w:hAnsi="宋体" w:cs="宋体"/>
                <w:color w:val="000000"/>
                <w:kern w:val="0"/>
                <w:sz w:val="20"/>
                <w:szCs w:val="20"/>
              </w:rPr>
            </w:pPr>
          </w:p>
        </w:tc>
        <w:tc>
          <w:tcPr>
            <w:tcW w:w="2412" w:type="dxa"/>
            <w:gridSpan w:val="3"/>
            <w:vMerge w:val="continue"/>
            <w:vAlign w:val="center"/>
          </w:tcPr>
          <w:p>
            <w:pPr>
              <w:widowControl/>
              <w:jc w:val="left"/>
              <w:rPr>
                <w:rFonts w:hint="eastAsia" w:ascii="宋体" w:hAnsi="宋体" w:cs="宋体"/>
                <w:color w:val="000000"/>
                <w:kern w:val="0"/>
                <w:sz w:val="20"/>
                <w:szCs w:val="20"/>
              </w:rPr>
            </w:pPr>
          </w:p>
        </w:tc>
        <w:tc>
          <w:tcPr>
            <w:tcW w:w="1232" w:type="dxa"/>
            <w:vMerge w:val="continue"/>
            <w:vAlign w:val="center"/>
          </w:tcPr>
          <w:p>
            <w:pPr>
              <w:widowControl/>
              <w:jc w:val="left"/>
              <w:rPr>
                <w:rFonts w:hint="eastAsia" w:ascii="宋体" w:hAnsi="宋体" w:cs="宋体"/>
                <w:color w:val="000000"/>
                <w:kern w:val="0"/>
                <w:sz w:val="20"/>
                <w:szCs w:val="20"/>
              </w:rPr>
            </w:pPr>
          </w:p>
        </w:tc>
        <w:tc>
          <w:tcPr>
            <w:tcW w:w="683" w:type="dxa"/>
            <w:vMerge w:val="continue"/>
            <w:vAlign w:val="center"/>
          </w:tcPr>
          <w:p>
            <w:pPr>
              <w:widowControl/>
              <w:jc w:val="left"/>
              <w:rPr>
                <w:rFonts w:hint="eastAsia" w:ascii="宋体" w:hAnsi="宋体" w:cs="宋体"/>
                <w:color w:val="000000"/>
                <w:kern w:val="0"/>
                <w:sz w:val="20"/>
                <w:szCs w:val="20"/>
              </w:rPr>
            </w:pPr>
          </w:p>
        </w:tc>
        <w:tc>
          <w:tcPr>
            <w:tcW w:w="511" w:type="dxa"/>
            <w:gridSpan w:val="2"/>
            <w:vMerge w:val="continue"/>
            <w:vAlign w:val="center"/>
          </w:tcPr>
          <w:p>
            <w:pPr>
              <w:widowControl/>
              <w:jc w:val="left"/>
              <w:rPr>
                <w:rFonts w:hint="eastAsia" w:ascii="宋体" w:hAnsi="宋体" w:cs="宋体"/>
                <w:color w:val="000000"/>
                <w:kern w:val="0"/>
                <w:sz w:val="20"/>
                <w:szCs w:val="20"/>
              </w:rPr>
            </w:pPr>
          </w:p>
        </w:tc>
        <w:tc>
          <w:tcPr>
            <w:tcW w:w="557" w:type="dxa"/>
            <w:gridSpan w:val="2"/>
            <w:vMerge w:val="continue"/>
            <w:vAlign w:val="center"/>
          </w:tcPr>
          <w:p>
            <w:pPr>
              <w:widowControl/>
              <w:jc w:val="left"/>
              <w:rPr>
                <w:rFonts w:hint="eastAsia" w:ascii="宋体" w:hAnsi="宋体" w:cs="宋体"/>
                <w:color w:val="000000"/>
                <w:kern w:val="0"/>
                <w:sz w:val="20"/>
                <w:szCs w:val="20"/>
              </w:rPr>
            </w:pPr>
          </w:p>
        </w:tc>
        <w:tc>
          <w:tcPr>
            <w:tcW w:w="117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发布宣传稿件数量</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&gt;=150篇</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=150篇</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举办宣传活动数量</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合作媒体数量</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&gt;=5家</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=5家</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业务骨干培训次数</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新闻质量达标率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新闻完成及时率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公众号订阅人数及官方网站点击量增长率</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vMerge w:val="continue"/>
            <w:vAlign w:val="center"/>
          </w:tcPr>
          <w:p>
            <w:pPr>
              <w:widowControl/>
              <w:jc w:val="left"/>
              <w:rPr>
                <w:rFonts w:hint="eastAsia" w:ascii="宋体" w:hAnsi="宋体" w:cs="宋体"/>
                <w:color w:val="000000"/>
                <w:kern w:val="0"/>
                <w:sz w:val="20"/>
                <w:szCs w:val="20"/>
              </w:rPr>
            </w:pP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3" w:type="dxa"/>
            <w:vMerge w:val="continue"/>
            <w:vAlign w:val="center"/>
          </w:tcPr>
          <w:p>
            <w:pPr>
              <w:widowControl/>
              <w:jc w:val="left"/>
              <w:rPr>
                <w:rFonts w:hint="eastAsia" w:ascii="宋体" w:hAnsi="宋体" w:cs="宋体"/>
                <w:color w:val="000000"/>
                <w:kern w:val="0"/>
                <w:sz w:val="20"/>
                <w:szCs w:val="20"/>
              </w:rPr>
            </w:pPr>
          </w:p>
        </w:tc>
        <w:tc>
          <w:tcPr>
            <w:tcW w:w="4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12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627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
        <w:gridCol w:w="412"/>
        <w:gridCol w:w="1127"/>
        <w:gridCol w:w="53"/>
        <w:gridCol w:w="1952"/>
        <w:gridCol w:w="407"/>
        <w:gridCol w:w="850"/>
        <w:gridCol w:w="915"/>
        <w:gridCol w:w="36"/>
        <w:gridCol w:w="479"/>
        <w:gridCol w:w="266"/>
        <w:gridCol w:w="394"/>
        <w:gridCol w:w="515"/>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0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宣传部自治区文明城市复验工作经费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9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9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22" w:type="dxa"/>
            <w:gridSpan w:val="2"/>
            <w:vMerge w:val="continue"/>
            <w:vAlign w:val="center"/>
          </w:tcPr>
          <w:p>
            <w:pPr>
              <w:widowControl/>
              <w:jc w:val="left"/>
              <w:rPr>
                <w:rFonts w:hint="eastAsia" w:ascii="宋体" w:hAnsi="宋体" w:cs="宋体"/>
                <w:color w:val="000000"/>
                <w:kern w:val="0"/>
                <w:sz w:val="20"/>
                <w:szCs w:val="20"/>
              </w:rPr>
            </w:pP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9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12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9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7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22" w:type="dxa"/>
            <w:gridSpan w:val="2"/>
            <w:vMerge w:val="continue"/>
            <w:vAlign w:val="center"/>
          </w:tcPr>
          <w:p>
            <w:pPr>
              <w:widowControl/>
              <w:jc w:val="left"/>
              <w:rPr>
                <w:rFonts w:hint="eastAsia" w:ascii="宋体" w:hAnsi="宋体" w:cs="宋体"/>
                <w:color w:val="000000"/>
                <w:kern w:val="0"/>
                <w:sz w:val="20"/>
                <w:szCs w:val="20"/>
              </w:rPr>
            </w:pPr>
          </w:p>
        </w:tc>
        <w:tc>
          <w:tcPr>
            <w:tcW w:w="11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9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12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9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7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22" w:type="dxa"/>
            <w:gridSpan w:val="2"/>
            <w:vMerge w:val="continue"/>
            <w:vAlign w:val="center"/>
          </w:tcPr>
          <w:p>
            <w:pPr>
              <w:widowControl/>
              <w:jc w:val="left"/>
              <w:rPr>
                <w:rFonts w:hint="eastAsia" w:ascii="宋体" w:hAnsi="宋体" w:cs="宋体"/>
                <w:color w:val="000000"/>
                <w:kern w:val="0"/>
                <w:sz w:val="20"/>
                <w:szCs w:val="20"/>
              </w:rPr>
            </w:pPr>
          </w:p>
        </w:tc>
        <w:tc>
          <w:tcPr>
            <w:tcW w:w="118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95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7"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5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80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51号《关于解决自治区文明城市复验工作经费的请示》文件要求，计划使用2023年宣传部自治区文明城市复验工作经费，积极组织各项文明城市复验活动，加大自治区文明城市宣传，进一步提高居民对创建自治区文明城市的知晓率、支持率和参与率。</w:t>
            </w:r>
          </w:p>
        </w:tc>
        <w:tc>
          <w:tcPr>
            <w:tcW w:w="331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截止项目完成日期：已完成发放创建文创产品数量6000件，开展文明城市创建短视频大赛次数1次，制作宣传册数量1000本，该项目的实施，进一步提高居民对创建自治区文明城市的知晓率、支持率和参与率。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2"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2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vMerge w:val="continue"/>
            <w:vAlign w:val="center"/>
          </w:tcPr>
          <w:p>
            <w:pPr>
              <w:widowControl/>
              <w:jc w:val="left"/>
              <w:rPr>
                <w:rFonts w:hint="eastAsia" w:ascii="宋体" w:hAnsi="宋体" w:cs="宋体"/>
                <w:color w:val="000000"/>
                <w:kern w:val="0"/>
                <w:sz w:val="20"/>
                <w:szCs w:val="20"/>
              </w:rPr>
            </w:pPr>
          </w:p>
        </w:tc>
        <w:tc>
          <w:tcPr>
            <w:tcW w:w="2412" w:type="dxa"/>
            <w:gridSpan w:val="3"/>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915" w:type="dxa"/>
            <w:vMerge w:val="continue"/>
            <w:vAlign w:val="center"/>
          </w:tcPr>
          <w:p>
            <w:pPr>
              <w:widowControl/>
              <w:jc w:val="left"/>
              <w:rPr>
                <w:rFonts w:hint="eastAsia" w:ascii="宋体" w:hAnsi="宋体" w:cs="宋体"/>
                <w:color w:val="000000"/>
                <w:kern w:val="0"/>
                <w:sz w:val="20"/>
                <w:szCs w:val="20"/>
              </w:rPr>
            </w:pPr>
          </w:p>
        </w:tc>
        <w:tc>
          <w:tcPr>
            <w:tcW w:w="515" w:type="dxa"/>
            <w:gridSpan w:val="2"/>
            <w:vMerge w:val="continue"/>
            <w:vAlign w:val="center"/>
          </w:tcPr>
          <w:p>
            <w:pPr>
              <w:widowControl/>
              <w:jc w:val="left"/>
              <w:rPr>
                <w:rFonts w:hint="eastAsia" w:ascii="宋体" w:hAnsi="宋体" w:cs="宋体"/>
                <w:color w:val="000000"/>
                <w:kern w:val="0"/>
                <w:sz w:val="20"/>
                <w:szCs w:val="20"/>
              </w:rPr>
            </w:pPr>
          </w:p>
        </w:tc>
        <w:tc>
          <w:tcPr>
            <w:tcW w:w="660" w:type="dxa"/>
            <w:gridSpan w:val="2"/>
            <w:vMerge w:val="continue"/>
            <w:vAlign w:val="center"/>
          </w:tcPr>
          <w:p>
            <w:pPr>
              <w:widowControl/>
              <w:jc w:val="left"/>
              <w:rPr>
                <w:rFonts w:hint="eastAsia" w:ascii="宋体" w:hAnsi="宋体" w:cs="宋体"/>
                <w:color w:val="000000"/>
                <w:kern w:val="0"/>
                <w:sz w:val="20"/>
                <w:szCs w:val="20"/>
              </w:rPr>
            </w:pPr>
          </w:p>
        </w:tc>
        <w:tc>
          <w:tcPr>
            <w:tcW w:w="122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发放创建文创产品数量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&gt;=6000件</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=6000件</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开展文明城市创建短视频大赛次数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制作宣传册数量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&gt;=1000本</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=1000本</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文明城市创建通过率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文明劝导及时率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居民对创建自治区文明城市的知晓率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vMerge w:val="continue"/>
            <w:vAlign w:val="center"/>
          </w:tcPr>
          <w:p>
            <w:pPr>
              <w:widowControl/>
              <w:jc w:val="left"/>
              <w:rPr>
                <w:rFonts w:hint="eastAsia" w:ascii="宋体" w:hAnsi="宋体" w:cs="宋体"/>
                <w:color w:val="000000"/>
                <w:kern w:val="0"/>
                <w:sz w:val="20"/>
                <w:szCs w:val="20"/>
              </w:rPr>
            </w:pP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0" w:type="dxa"/>
            <w:vMerge w:val="continue"/>
            <w:vAlign w:val="center"/>
          </w:tcPr>
          <w:p>
            <w:pPr>
              <w:widowControl/>
              <w:jc w:val="left"/>
              <w:rPr>
                <w:rFonts w:hint="eastAsia" w:ascii="宋体" w:hAnsi="宋体" w:cs="宋体"/>
                <w:color w:val="000000"/>
                <w:kern w:val="0"/>
                <w:sz w:val="20"/>
                <w:szCs w:val="20"/>
              </w:rPr>
            </w:pPr>
          </w:p>
        </w:tc>
        <w:tc>
          <w:tcPr>
            <w:tcW w:w="4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2"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612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402"/>
        <w:gridCol w:w="1150"/>
        <w:gridCol w:w="1844"/>
        <w:gridCol w:w="426"/>
        <w:gridCol w:w="850"/>
        <w:gridCol w:w="1123"/>
        <w:gridCol w:w="216"/>
        <w:gridCol w:w="303"/>
        <w:gridCol w:w="259"/>
        <w:gridCol w:w="385"/>
        <w:gridCol w:w="493"/>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17"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中央补助地方公共文化体系建设补助资金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7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0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5" w:type="dxa"/>
            <w:gridSpan w:val="2"/>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5" w:type="dxa"/>
            <w:gridSpan w:val="2"/>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5" w:type="dxa"/>
            <w:gridSpan w:val="2"/>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84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7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4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672"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74号《关于提前下达2023年中央补助地方公共文化体系建设补助资金预算的通知》，计划使用中央支持地方文化服务体系建设补助资金，引导和支持地方提供基本文化服务项目，改善基层公共文化体育设施条件，加强基层公共文化服务人才队伍建设。</w:t>
            </w:r>
          </w:p>
        </w:tc>
        <w:tc>
          <w:tcPr>
            <w:tcW w:w="3447"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截止项目完成日期：已完成新时代文明实践中心补助数量6个，农家书屋示范点数量5个，每个农家书屋社区书屋图书增补更新种类54本，每月每村农村公益电影放映1场，群众文艺团队扶持奖励比例10％，开展文化比赛活动非遗传承活动数量2次。该项目的实施，改善基层公共文化体育设施条件，加强基层公共文化服务人才队伍建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7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vMerge w:val="continue"/>
            <w:vAlign w:val="center"/>
          </w:tcPr>
          <w:p>
            <w:pPr>
              <w:widowControl/>
              <w:jc w:val="left"/>
              <w:rPr>
                <w:rFonts w:hint="eastAsia" w:ascii="宋体" w:hAnsi="宋体" w:cs="宋体"/>
                <w:color w:val="000000"/>
                <w:kern w:val="0"/>
                <w:sz w:val="20"/>
                <w:szCs w:val="20"/>
              </w:rPr>
            </w:pPr>
          </w:p>
        </w:tc>
        <w:tc>
          <w:tcPr>
            <w:tcW w:w="2270"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123" w:type="dxa"/>
            <w:vMerge w:val="continue"/>
            <w:vAlign w:val="center"/>
          </w:tcPr>
          <w:p>
            <w:pPr>
              <w:widowControl/>
              <w:jc w:val="left"/>
              <w:rPr>
                <w:rFonts w:hint="eastAsia" w:ascii="宋体" w:hAnsi="宋体" w:cs="宋体"/>
                <w:color w:val="000000"/>
                <w:kern w:val="0"/>
                <w:sz w:val="20"/>
                <w:szCs w:val="20"/>
              </w:rPr>
            </w:pPr>
          </w:p>
        </w:tc>
        <w:tc>
          <w:tcPr>
            <w:tcW w:w="519" w:type="dxa"/>
            <w:gridSpan w:val="2"/>
            <w:vMerge w:val="continue"/>
            <w:vAlign w:val="center"/>
          </w:tcPr>
          <w:p>
            <w:pPr>
              <w:widowControl/>
              <w:jc w:val="left"/>
              <w:rPr>
                <w:rFonts w:hint="eastAsia" w:ascii="宋体" w:hAnsi="宋体" w:cs="宋体"/>
                <w:color w:val="000000"/>
                <w:kern w:val="0"/>
                <w:sz w:val="20"/>
                <w:szCs w:val="20"/>
              </w:rPr>
            </w:pPr>
          </w:p>
        </w:tc>
        <w:tc>
          <w:tcPr>
            <w:tcW w:w="644" w:type="dxa"/>
            <w:gridSpan w:val="2"/>
            <w:vMerge w:val="continue"/>
            <w:vAlign w:val="center"/>
          </w:tcPr>
          <w:p>
            <w:pPr>
              <w:widowControl/>
              <w:jc w:val="left"/>
              <w:rPr>
                <w:rFonts w:hint="eastAsia" w:ascii="宋体" w:hAnsi="宋体" w:cs="宋体"/>
                <w:color w:val="000000"/>
                <w:kern w:val="0"/>
                <w:sz w:val="20"/>
                <w:szCs w:val="20"/>
              </w:rPr>
            </w:pPr>
          </w:p>
        </w:tc>
        <w:tc>
          <w:tcPr>
            <w:tcW w:w="116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新时代文明实践中心补助数量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&gt;=6个</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每个农家书屋社区书屋图书增补更新种类</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&gt;=60本</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=60本</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每月每村农村公益电影放映场次数量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&gt;=1场</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群众文艺团队扶持奖励比例</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开展文化比赛活动非遗传承活动数量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公共文化云项目年度重点任务完成率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文明志愿者活动安全事故发生率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基层公共文化服务人才培训覆盖率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vMerge w:val="continue"/>
            <w:vAlign w:val="center"/>
          </w:tcPr>
          <w:p>
            <w:pPr>
              <w:widowControl/>
              <w:jc w:val="left"/>
              <w:rPr>
                <w:rFonts w:hint="eastAsia" w:ascii="宋体" w:hAnsi="宋体" w:cs="宋体"/>
                <w:color w:val="000000"/>
                <w:kern w:val="0"/>
                <w:sz w:val="20"/>
                <w:szCs w:val="20"/>
              </w:rPr>
            </w:pP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3" w:type="dxa"/>
            <w:vMerge w:val="continue"/>
            <w:vAlign w:val="center"/>
          </w:tcPr>
          <w:p>
            <w:pPr>
              <w:widowControl/>
              <w:jc w:val="left"/>
              <w:rPr>
                <w:rFonts w:hint="eastAsia" w:ascii="宋体" w:hAnsi="宋体" w:cs="宋体"/>
                <w:color w:val="000000"/>
                <w:kern w:val="0"/>
                <w:sz w:val="20"/>
                <w:szCs w:val="20"/>
              </w:rPr>
            </w:pPr>
          </w:p>
        </w:tc>
        <w:tc>
          <w:tcPr>
            <w:tcW w:w="4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7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9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6"/>
        <w:gridCol w:w="1274"/>
        <w:gridCol w:w="141"/>
        <w:gridCol w:w="993"/>
        <w:gridCol w:w="1134"/>
        <w:gridCol w:w="141"/>
        <w:gridCol w:w="488"/>
        <w:gridCol w:w="473"/>
        <w:gridCol w:w="743"/>
        <w:gridCol w:w="788"/>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中央支持地方文化服务体系建设补助资金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1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9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9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2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520"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关于提前下达2023年中央支持公共文化体系建设补助资金的通知（新时代文明实践中心建设项目）》文件要求，计划使用中央支持地方文化服务体系建设补助资金，整合各种资源，创新方式方法，健全体制机制，确保全县新时代文明实践志愿服务队伍达到330支以上，全年开展集中性活动2200场（次），推进新时代文明实践中心建设与乡村振兴、基层党建、文化润疆融汇贯通，实现更大发展、发挥更大作用。</w:t>
            </w:r>
          </w:p>
        </w:tc>
        <w:tc>
          <w:tcPr>
            <w:tcW w:w="458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截止项目完成日期：已完成新时代文明实践中心建设数量1个，新时代文明实践志愿服务队伍达到330支，全年开展集中性活动2200次，有影响力的文明实践志愿服务活动品牌数量11支，该项目的实施推进新时代文明实践中心建设与乡村振兴、基层党建、文化润疆融汇贯通，实现更大发展、发挥更大作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2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0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vMerge w:val="continue"/>
            <w:vAlign w:val="center"/>
          </w:tcPr>
          <w:p>
            <w:pPr>
              <w:widowControl/>
              <w:jc w:val="left"/>
              <w:rPr>
                <w:rFonts w:hint="eastAsia" w:ascii="宋体" w:hAnsi="宋体" w:cs="宋体"/>
                <w:color w:val="000000"/>
                <w:kern w:val="0"/>
                <w:sz w:val="20"/>
                <w:szCs w:val="20"/>
              </w:rPr>
            </w:pPr>
          </w:p>
        </w:tc>
        <w:tc>
          <w:tcPr>
            <w:tcW w:w="1415" w:type="dxa"/>
            <w:gridSpan w:val="2"/>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629" w:type="dxa"/>
            <w:gridSpan w:val="2"/>
            <w:vMerge w:val="continue"/>
            <w:vAlign w:val="center"/>
          </w:tcPr>
          <w:p>
            <w:pPr>
              <w:widowControl/>
              <w:jc w:val="left"/>
              <w:rPr>
                <w:rFonts w:hint="eastAsia" w:ascii="宋体" w:hAnsi="宋体" w:cs="宋体"/>
                <w:color w:val="000000"/>
                <w:kern w:val="0"/>
                <w:sz w:val="20"/>
                <w:szCs w:val="20"/>
              </w:rPr>
            </w:pPr>
          </w:p>
        </w:tc>
        <w:tc>
          <w:tcPr>
            <w:tcW w:w="1216" w:type="dxa"/>
            <w:gridSpan w:val="2"/>
            <w:vMerge w:val="continue"/>
            <w:vAlign w:val="center"/>
          </w:tcPr>
          <w:p>
            <w:pPr>
              <w:widowControl/>
              <w:jc w:val="left"/>
              <w:rPr>
                <w:rFonts w:hint="eastAsia" w:ascii="宋体" w:hAnsi="宋体" w:cs="宋体"/>
                <w:color w:val="000000"/>
                <w:kern w:val="0"/>
                <w:sz w:val="20"/>
                <w:szCs w:val="20"/>
              </w:rPr>
            </w:pPr>
          </w:p>
        </w:tc>
        <w:tc>
          <w:tcPr>
            <w:tcW w:w="1607"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新时代文明实践中心建设数量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文明实践志愿服务队伍数量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&gt;=330支</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=330支</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全年开展集中性活动次数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&gt;=2200场次</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=2200场次</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有影响力的文明实践志愿服务活动品牌数量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&gt;=11支</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=11支</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新时代文明实践中心建设完成率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文明实践志愿者骨干培训覆盖率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0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30DB1"/>
    <w:rsid w:val="0011173C"/>
    <w:rsid w:val="00213C59"/>
    <w:rsid w:val="002612D9"/>
    <w:rsid w:val="00277853"/>
    <w:rsid w:val="003210CE"/>
    <w:rsid w:val="00324EBD"/>
    <w:rsid w:val="003C5B30"/>
    <w:rsid w:val="00495E4B"/>
    <w:rsid w:val="0062101B"/>
    <w:rsid w:val="00712756"/>
    <w:rsid w:val="0072422F"/>
    <w:rsid w:val="00746EE9"/>
    <w:rsid w:val="00761EEB"/>
    <w:rsid w:val="00826DCE"/>
    <w:rsid w:val="008A3134"/>
    <w:rsid w:val="00980A35"/>
    <w:rsid w:val="00B128D6"/>
    <w:rsid w:val="00B20D70"/>
    <w:rsid w:val="00B70D59"/>
    <w:rsid w:val="00B90C41"/>
    <w:rsid w:val="00C25531"/>
    <w:rsid w:val="00C30DB1"/>
    <w:rsid w:val="00D124C8"/>
    <w:rsid w:val="00DE01E7"/>
    <w:rsid w:val="00DE6F07"/>
    <w:rsid w:val="00E13283"/>
    <w:rsid w:val="00E221C3"/>
    <w:rsid w:val="00E66835"/>
    <w:rsid w:val="00E82CC3"/>
    <w:rsid w:val="00EA5F92"/>
    <w:rsid w:val="00F1309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5D3C9A"/>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2997</Words>
  <Characters>17088</Characters>
  <Lines>142</Lines>
  <Paragraphs>40</Paragraphs>
  <TotalTime>165</TotalTime>
  <ScaleCrop>false</ScaleCrop>
  <LinksUpToDate>false</LinksUpToDate>
  <CharactersWithSpaces>20045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2024-12-23T10:42:49Z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